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402F55" w:rsidRPr="00402F55">
        <w:rPr>
          <w:noProof/>
          <w:lang w:val="fr-FR"/>
        </w:rPr>
        <w:sym w:font="Wingdings" w:char="F0E0"/>
      </w:r>
      <w:r w:rsidR="00402F55" w:rsidRPr="00402F55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AE0BBD">
        <w:rPr>
          <w:noProof/>
          <w:lang w:val="fr-FR"/>
        </w:rPr>
        <w:t>GUERRE</w:t>
      </w:r>
      <w:r w:rsidR="00402F55" w:rsidRPr="00402F55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  <w:r w:rsidR="00402F55" w:rsidRPr="00402F55">
        <w:rPr>
          <w:noProof/>
          <w:lang w:val="fr-FR"/>
        </w:rPr>
        <w:sym w:font="Wingdings" w:char="F0DF"/>
      </w:r>
    </w:p>
    <w:p w:rsidR="00B81E4B" w:rsidRPr="002C7B32" w:rsidRDefault="002C7B3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Default="001354EE" w:rsidP="00E22FF0">
      <w:pPr>
        <w:rPr>
          <w:lang w:val="fr-FR" w:eastAsia="nb-NO"/>
        </w:rPr>
      </w:pPr>
      <w:r w:rsidRPr="0073040E">
        <w:rPr>
          <w:b/>
          <w:lang w:val="fr-FR" w:eastAsia="nb-NO"/>
        </w:rPr>
        <w:t>Guerre d’abondance</w:t>
      </w:r>
      <w:r>
        <w:rPr>
          <w:lang w:val="fr-FR" w:eastAsia="nb-NO"/>
        </w:rPr>
        <w:t> : autour des mines et du pétrole</w:t>
      </w:r>
    </w:p>
    <w:p w:rsidR="001354EE" w:rsidRDefault="001354EE" w:rsidP="00E22FF0">
      <w:pPr>
        <w:rPr>
          <w:lang w:val="fr-FR" w:eastAsia="nb-NO"/>
        </w:rPr>
      </w:pPr>
      <w:r w:rsidRPr="0073040E">
        <w:rPr>
          <w:b/>
          <w:lang w:val="fr-FR" w:eastAsia="nb-NO"/>
        </w:rPr>
        <w:t>Guerre de pénurie</w:t>
      </w:r>
      <w:r>
        <w:rPr>
          <w:lang w:val="fr-FR" w:eastAsia="nb-NO"/>
        </w:rPr>
        <w:t> : autour des ressources rares comme les disponibilités foncières et l’eau</w:t>
      </w:r>
    </w:p>
    <w:p w:rsidR="001354EE" w:rsidRDefault="001354EE" w:rsidP="00E22FF0">
      <w:pPr>
        <w:rPr>
          <w:lang w:val="fr-FR" w:eastAsia="nb-NO"/>
        </w:rPr>
      </w:pPr>
      <w:r w:rsidRPr="0073040E">
        <w:rPr>
          <w:b/>
          <w:lang w:val="fr-FR" w:eastAsia="nb-NO"/>
        </w:rPr>
        <w:t>Guerre d’influence</w:t>
      </w:r>
      <w:r>
        <w:rPr>
          <w:lang w:val="fr-FR" w:eastAsia="nb-NO"/>
        </w:rPr>
        <w:t> : associée aux mouvements séparatistes</w:t>
      </w:r>
      <w:r w:rsidR="00921242">
        <w:rPr>
          <w:lang w:val="fr-FR" w:eastAsia="nb-NO"/>
        </w:rPr>
        <w:t>.</w:t>
      </w:r>
    </w:p>
    <w:p w:rsidR="00921242" w:rsidRDefault="00921242" w:rsidP="00E22FF0">
      <w:pPr>
        <w:rPr>
          <w:lang w:val="fr-FR" w:eastAsia="nb-NO"/>
        </w:rPr>
      </w:pPr>
      <w:r>
        <w:rPr>
          <w:lang w:val="fr-FR" w:eastAsia="nb-NO"/>
        </w:rPr>
        <w:t xml:space="preserve">Deux modèles pour expliquer les guerres civiles : </w:t>
      </w:r>
    </w:p>
    <w:p w:rsidR="00921242" w:rsidRDefault="00921242" w:rsidP="00921242">
      <w:pPr>
        <w:pStyle w:val="Paragraphedeliste"/>
        <w:numPr>
          <w:ilvl w:val="0"/>
          <w:numId w:val="1"/>
        </w:numPr>
        <w:rPr>
          <w:lang w:val="fr-FR" w:eastAsia="nb-NO"/>
        </w:rPr>
      </w:pPr>
      <w:r w:rsidRPr="00921242">
        <w:rPr>
          <w:lang w:val="fr-FR" w:eastAsia="nb-NO"/>
        </w:rPr>
        <w:t>le « </w:t>
      </w:r>
      <w:r w:rsidRPr="0073040E">
        <w:rPr>
          <w:b/>
          <w:lang w:val="fr-FR" w:eastAsia="nb-NO"/>
        </w:rPr>
        <w:t>modèle du grief</w:t>
      </w:r>
      <w:r w:rsidRPr="00921242">
        <w:rPr>
          <w:lang w:val="fr-FR" w:eastAsia="nb-NO"/>
        </w:rPr>
        <w:t> » (</w:t>
      </w:r>
      <w:proofErr w:type="spellStart"/>
      <w:r w:rsidRPr="00921242">
        <w:rPr>
          <w:i/>
          <w:lang w:val="fr-FR" w:eastAsia="nb-NO"/>
        </w:rPr>
        <w:t>grievance</w:t>
      </w:r>
      <w:proofErr w:type="spellEnd"/>
      <w:r w:rsidRPr="00921242">
        <w:rPr>
          <w:i/>
          <w:lang w:val="fr-FR" w:eastAsia="nb-NO"/>
        </w:rPr>
        <w:t xml:space="preserve"> model)</w:t>
      </w:r>
      <w:r w:rsidRPr="00921242">
        <w:rPr>
          <w:lang w:val="fr-FR" w:eastAsia="nb-NO"/>
        </w:rPr>
        <w:t xml:space="preserve"> où le conflit résulte de l’oppression, des inégalités et de l’instrumentalisation des divisions ethnico-religieuses</w:t>
      </w:r>
    </w:p>
    <w:p w:rsidR="001E4C5F" w:rsidRPr="001E4C5F" w:rsidRDefault="00921242" w:rsidP="001E4C5F">
      <w:pPr>
        <w:pStyle w:val="Paragraphedeliste"/>
        <w:numPr>
          <w:ilvl w:val="0"/>
          <w:numId w:val="1"/>
        </w:numPr>
        <w:rPr>
          <w:lang w:val="fr-FR" w:eastAsia="nb-NO"/>
        </w:rPr>
      </w:pPr>
      <w:r>
        <w:rPr>
          <w:lang w:val="fr-FR" w:eastAsia="nb-NO"/>
        </w:rPr>
        <w:t>le « </w:t>
      </w:r>
      <w:r w:rsidRPr="0073040E">
        <w:rPr>
          <w:b/>
          <w:lang w:val="fr-FR" w:eastAsia="nb-NO"/>
        </w:rPr>
        <w:t>modèle de la cupidité</w:t>
      </w:r>
      <w:r>
        <w:rPr>
          <w:lang w:val="fr-FR" w:eastAsia="nb-NO"/>
        </w:rPr>
        <w:t> » (</w:t>
      </w:r>
      <w:proofErr w:type="spellStart"/>
      <w:r w:rsidRPr="00921242">
        <w:rPr>
          <w:i/>
          <w:lang w:val="fr-FR" w:eastAsia="nb-NO"/>
        </w:rPr>
        <w:t>greed</w:t>
      </w:r>
      <w:proofErr w:type="spellEnd"/>
      <w:r w:rsidRPr="00921242">
        <w:rPr>
          <w:i/>
          <w:lang w:val="fr-FR" w:eastAsia="nb-NO"/>
        </w:rPr>
        <w:t xml:space="preserve"> model</w:t>
      </w:r>
      <w:r>
        <w:rPr>
          <w:lang w:val="fr-FR" w:eastAsia="nb-NO"/>
        </w:rPr>
        <w:t>) où la convoitise des ressources est la cause et le facteur d’entretien du confli</w:t>
      </w:r>
      <w:r w:rsidR="001E4C5F">
        <w:rPr>
          <w:lang w:val="fr-FR" w:eastAsia="nb-NO"/>
        </w:rPr>
        <w:t>t</w:t>
      </w:r>
    </w:p>
    <w:p w:rsidR="008665E2" w:rsidRDefault="008665E2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73040E" w:rsidRDefault="00AA389B" w:rsidP="008665E2">
      <w:pPr>
        <w:rPr>
          <w:lang w:val="fr-FR" w:eastAsia="nb-NO"/>
        </w:rPr>
      </w:pPr>
      <w:r>
        <w:rPr>
          <w:lang w:val="fr-FR" w:eastAsia="nb-NO"/>
        </w:rPr>
        <w:t xml:space="preserve">Coûts des conflits en Afrique : </w:t>
      </w:r>
      <w:r w:rsidRPr="00A17FED">
        <w:rPr>
          <w:b/>
          <w:color w:val="0070C0"/>
          <w:lang w:val="fr-FR" w:eastAsia="nb-NO"/>
        </w:rPr>
        <w:t>284 milliards de dollars</w:t>
      </w:r>
      <w:r>
        <w:rPr>
          <w:lang w:val="fr-FR" w:eastAsia="nb-NO"/>
        </w:rPr>
        <w:t xml:space="preserve"> entre 1990 et 2005 soit autant que l’aide internationale. </w:t>
      </w:r>
    </w:p>
    <w:p w:rsidR="008665E2" w:rsidRPr="008665E2" w:rsidRDefault="00AA389B" w:rsidP="008665E2">
      <w:pPr>
        <w:rPr>
          <w:lang w:val="fr-FR" w:eastAsia="nb-NO"/>
        </w:rPr>
      </w:pPr>
      <w:r>
        <w:rPr>
          <w:lang w:val="fr-FR" w:eastAsia="nb-NO"/>
        </w:rPr>
        <w:t>On compte 500 conflits non étatiques depuis 1990 en Afrique subsaharienne.</w:t>
      </w:r>
    </w:p>
    <w:p w:rsidR="002C7B3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2C7B32" w:rsidRDefault="001B3F30" w:rsidP="002C7B32">
      <w:pPr>
        <w:rPr>
          <w:lang w:val="fr-FR" w:eastAsia="nb-NO"/>
        </w:rPr>
      </w:pPr>
      <w:r>
        <w:rPr>
          <w:lang w:val="fr-FR" w:eastAsia="nb-NO"/>
        </w:rPr>
        <w:t xml:space="preserve">Loi sur le mercenariat l’interdit en 2003 en France. Débat pour lever cette interdiction. </w:t>
      </w:r>
    </w:p>
    <w:p w:rsidR="0025355E" w:rsidRDefault="001E4C5F" w:rsidP="002C7B32">
      <w:pPr>
        <w:rPr>
          <w:lang w:val="fr-FR" w:eastAsia="nb-NO"/>
        </w:rPr>
      </w:pPr>
      <w:r>
        <w:rPr>
          <w:lang w:val="fr-FR" w:eastAsia="nb-NO"/>
        </w:rPr>
        <w:t xml:space="preserve">Exemple de modèle de la cupidité : le </w:t>
      </w:r>
      <w:r w:rsidRPr="0073040E">
        <w:rPr>
          <w:b/>
          <w:lang w:val="fr-FR" w:eastAsia="nb-NO"/>
        </w:rPr>
        <w:t>Soudan du Sud</w:t>
      </w:r>
      <w:r>
        <w:rPr>
          <w:lang w:val="fr-FR" w:eastAsia="nb-NO"/>
        </w:rPr>
        <w:t xml:space="preserve"> où </w:t>
      </w:r>
      <w:proofErr w:type="spellStart"/>
      <w:r>
        <w:rPr>
          <w:lang w:val="fr-FR" w:eastAsia="nb-NO"/>
        </w:rPr>
        <w:t>Salva</w:t>
      </w:r>
      <w:proofErr w:type="spellEnd"/>
      <w:r>
        <w:rPr>
          <w:lang w:val="fr-FR" w:eastAsia="nb-NO"/>
        </w:rPr>
        <w:t xml:space="preserve"> </w:t>
      </w:r>
      <w:proofErr w:type="spellStart"/>
      <w:r>
        <w:rPr>
          <w:lang w:val="fr-FR" w:eastAsia="nb-NO"/>
        </w:rPr>
        <w:t>Kiir</w:t>
      </w:r>
      <w:proofErr w:type="spellEnd"/>
      <w:r>
        <w:rPr>
          <w:lang w:val="fr-FR" w:eastAsia="nb-NO"/>
        </w:rPr>
        <w:t xml:space="preserve">, le président s’oppose à </w:t>
      </w:r>
      <w:proofErr w:type="spellStart"/>
      <w:r>
        <w:rPr>
          <w:lang w:val="fr-FR" w:eastAsia="nb-NO"/>
        </w:rPr>
        <w:t>Riek</w:t>
      </w:r>
      <w:proofErr w:type="spellEnd"/>
      <w:r>
        <w:rPr>
          <w:lang w:val="fr-FR" w:eastAsia="nb-NO"/>
        </w:rPr>
        <w:t xml:space="preserve"> Machar. </w:t>
      </w:r>
      <w:r w:rsidR="0025355E">
        <w:rPr>
          <w:lang w:val="fr-FR" w:eastAsia="nb-NO"/>
        </w:rPr>
        <w:t xml:space="preserve">Les problématiques des nouveaux Etats tournent autour de la terre, du bétail et des zones pétrolières : un Etat disposant de ressources minières et pétrolières a </w:t>
      </w:r>
      <w:r w:rsidR="0025355E" w:rsidRPr="00A17FED">
        <w:rPr>
          <w:b/>
          <w:color w:val="0070C0"/>
          <w:lang w:val="fr-FR" w:eastAsia="nb-NO"/>
        </w:rPr>
        <w:t>9 fois</w:t>
      </w:r>
      <w:r w:rsidR="0025355E" w:rsidRPr="0073040E">
        <w:rPr>
          <w:b/>
          <w:lang w:val="fr-FR" w:eastAsia="nb-NO"/>
        </w:rPr>
        <w:t xml:space="preserve"> </w:t>
      </w:r>
      <w:r w:rsidR="0025355E">
        <w:rPr>
          <w:lang w:val="fr-FR" w:eastAsia="nb-NO"/>
        </w:rPr>
        <w:t>plus de chances d’être touché par un conflit majeur qu’un Etat non doté (Banque mondiale).</w:t>
      </w:r>
    </w:p>
    <w:p w:rsidR="001E4C5F" w:rsidRDefault="0025355E" w:rsidP="002C7B32">
      <w:pPr>
        <w:rPr>
          <w:lang w:val="fr-FR" w:eastAsia="nb-NO"/>
        </w:rPr>
      </w:pPr>
      <w:r>
        <w:rPr>
          <w:lang w:val="fr-FR" w:eastAsia="nb-NO"/>
        </w:rPr>
        <w:t xml:space="preserve">Conflits mineurs autour de ressources : au </w:t>
      </w:r>
      <w:r w:rsidRPr="0073040E">
        <w:rPr>
          <w:b/>
          <w:lang w:val="fr-FR" w:eastAsia="nb-NO"/>
        </w:rPr>
        <w:t>delta du Niger</w:t>
      </w:r>
      <w:r>
        <w:rPr>
          <w:lang w:val="fr-FR" w:eastAsia="nb-NO"/>
        </w:rPr>
        <w:t xml:space="preserve"> entre le pouvoir central et les </w:t>
      </w:r>
      <w:r w:rsidRPr="00C41E68">
        <w:rPr>
          <w:b/>
          <w:color w:val="009900"/>
          <w:lang w:val="fr-FR" w:eastAsia="nb-NO"/>
        </w:rPr>
        <w:t>rebelles du MEND</w:t>
      </w:r>
      <w:r>
        <w:rPr>
          <w:lang w:val="fr-FR" w:eastAsia="nb-NO"/>
        </w:rPr>
        <w:t> ;</w:t>
      </w:r>
      <w:r w:rsidR="0073040E">
        <w:rPr>
          <w:lang w:val="fr-FR" w:eastAsia="nb-NO"/>
        </w:rPr>
        <w:t xml:space="preserve"> </w:t>
      </w:r>
      <w:r w:rsidR="0073040E" w:rsidRPr="005A38E7">
        <w:rPr>
          <w:b/>
          <w:lang w:val="fr-FR" w:eastAsia="nb-NO"/>
        </w:rPr>
        <w:t xml:space="preserve">Malawi </w:t>
      </w:r>
      <w:r w:rsidR="0073040E">
        <w:rPr>
          <w:lang w:val="fr-FR" w:eastAsia="nb-NO"/>
        </w:rPr>
        <w:t xml:space="preserve">contre la </w:t>
      </w:r>
      <w:r>
        <w:rPr>
          <w:lang w:val="fr-FR" w:eastAsia="nb-NO"/>
        </w:rPr>
        <w:t xml:space="preserve"> </w:t>
      </w:r>
      <w:r w:rsidRPr="005A38E7">
        <w:rPr>
          <w:b/>
          <w:lang w:val="fr-FR" w:eastAsia="nb-NO"/>
        </w:rPr>
        <w:t>Tanzanie</w:t>
      </w:r>
      <w:r>
        <w:rPr>
          <w:lang w:val="fr-FR" w:eastAsia="nb-NO"/>
        </w:rPr>
        <w:t xml:space="preserve"> pour le </w:t>
      </w:r>
      <w:r w:rsidRPr="00894BD0">
        <w:rPr>
          <w:b/>
          <w:color w:val="FF0000"/>
          <w:lang w:val="fr-FR" w:eastAsia="nb-NO"/>
        </w:rPr>
        <w:t>lac Nyassa</w:t>
      </w:r>
      <w:r w:rsidR="000E5421">
        <w:rPr>
          <w:lang w:val="fr-FR" w:eastAsia="nb-NO"/>
        </w:rPr>
        <w:t xml:space="preserve"> riche en pétrole où le premier revendique la totalité en vertu d’accords coloniaux et le second veut un partage équitable ; au Botswana qui veut préserver le </w:t>
      </w:r>
      <w:r w:rsidR="000E5421" w:rsidRPr="00894BD0">
        <w:rPr>
          <w:b/>
          <w:color w:val="FF0000"/>
          <w:lang w:val="fr-FR" w:eastAsia="nb-NO"/>
        </w:rPr>
        <w:t>delta de l’Okavango-</w:t>
      </w:r>
      <w:proofErr w:type="spellStart"/>
      <w:r w:rsidR="000E5421" w:rsidRPr="00894BD0">
        <w:rPr>
          <w:b/>
          <w:color w:val="FF0000"/>
          <w:lang w:val="fr-FR" w:eastAsia="nb-NO"/>
        </w:rPr>
        <w:t>Makgadikgadi</w:t>
      </w:r>
      <w:proofErr w:type="spellEnd"/>
      <w:r w:rsidR="000E5421">
        <w:rPr>
          <w:lang w:val="fr-FR" w:eastAsia="nb-NO"/>
        </w:rPr>
        <w:t xml:space="preserve"> alors que la </w:t>
      </w:r>
      <w:r w:rsidR="000E5421" w:rsidRPr="005A38E7">
        <w:rPr>
          <w:b/>
          <w:lang w:val="fr-FR" w:eastAsia="nb-NO"/>
        </w:rPr>
        <w:t>Namibie</w:t>
      </w:r>
      <w:r w:rsidR="000E5421">
        <w:rPr>
          <w:lang w:val="fr-FR" w:eastAsia="nb-NO"/>
        </w:rPr>
        <w:t xml:space="preserve"> veut pomper de l’eau pour alimenter Windhoek. </w:t>
      </w:r>
    </w:p>
    <w:p w:rsidR="0025355E" w:rsidRPr="002C7B32" w:rsidRDefault="0025355E" w:rsidP="002C7B32">
      <w:pPr>
        <w:rPr>
          <w:lang w:val="fr-FR" w:eastAsia="nb-NO"/>
        </w:rPr>
      </w:pPr>
    </w:p>
    <w:p w:rsidR="006D634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AE0BBD" w:rsidRPr="00AE0BBD" w:rsidRDefault="00AE0BBD" w:rsidP="00AE0BBD">
      <w:pPr>
        <w:rPr>
          <w:lang w:val="fr-FR"/>
        </w:rPr>
      </w:pPr>
      <w:r w:rsidRPr="00AE0BBD">
        <w:rPr>
          <w:b/>
          <w:i/>
          <w:u w:val="single"/>
          <w:lang w:val="fr-FR"/>
        </w:rPr>
        <w:t xml:space="preserve">The Modern </w:t>
      </w:r>
      <w:proofErr w:type="spellStart"/>
      <w:r w:rsidRPr="00AE0BBD">
        <w:rPr>
          <w:b/>
          <w:i/>
          <w:u w:val="single"/>
          <w:lang w:val="fr-FR"/>
        </w:rPr>
        <w:t>Mercenary</w:t>
      </w:r>
      <w:proofErr w:type="spellEnd"/>
      <w:r w:rsidRPr="00AE0BBD">
        <w:rPr>
          <w:b/>
          <w:i/>
          <w:u w:val="single"/>
          <w:lang w:val="fr-FR"/>
        </w:rPr>
        <w:t xml:space="preserve">: </w:t>
      </w:r>
      <w:proofErr w:type="spellStart"/>
      <w:r w:rsidRPr="00AE0BBD">
        <w:rPr>
          <w:b/>
          <w:i/>
          <w:u w:val="single"/>
          <w:lang w:val="fr-FR"/>
        </w:rPr>
        <w:t>Privates</w:t>
      </w:r>
      <w:proofErr w:type="spellEnd"/>
      <w:r w:rsidRPr="00AE0BBD">
        <w:rPr>
          <w:b/>
          <w:i/>
          <w:u w:val="single"/>
          <w:lang w:val="fr-FR"/>
        </w:rPr>
        <w:t xml:space="preserve"> </w:t>
      </w:r>
      <w:proofErr w:type="spellStart"/>
      <w:r w:rsidRPr="00AE0BBD">
        <w:rPr>
          <w:b/>
          <w:i/>
          <w:u w:val="single"/>
          <w:lang w:val="fr-FR"/>
        </w:rPr>
        <w:t>Armies</w:t>
      </w:r>
      <w:proofErr w:type="spellEnd"/>
      <w:r w:rsidRPr="00AE0BBD">
        <w:rPr>
          <w:b/>
          <w:i/>
          <w:u w:val="single"/>
          <w:lang w:val="fr-FR"/>
        </w:rPr>
        <w:t xml:space="preserve"> and </w:t>
      </w:r>
      <w:proofErr w:type="spellStart"/>
      <w:r w:rsidRPr="00AE0BBD">
        <w:rPr>
          <w:b/>
          <w:i/>
          <w:u w:val="single"/>
          <w:lang w:val="fr-FR"/>
        </w:rPr>
        <w:t>What</w:t>
      </w:r>
      <w:proofErr w:type="spellEnd"/>
      <w:r w:rsidRPr="00AE0BBD">
        <w:rPr>
          <w:b/>
          <w:i/>
          <w:u w:val="single"/>
          <w:lang w:val="fr-FR"/>
        </w:rPr>
        <w:t xml:space="preserve"> </w:t>
      </w:r>
      <w:proofErr w:type="spellStart"/>
      <w:r w:rsidRPr="00AE0BBD">
        <w:rPr>
          <w:b/>
          <w:i/>
          <w:u w:val="single"/>
          <w:lang w:val="fr-FR"/>
        </w:rPr>
        <w:t>They</w:t>
      </w:r>
      <w:proofErr w:type="spellEnd"/>
      <w:r w:rsidRPr="00AE0BBD">
        <w:rPr>
          <w:b/>
          <w:i/>
          <w:u w:val="single"/>
          <w:lang w:val="fr-FR"/>
        </w:rPr>
        <w:t xml:space="preserve"> </w:t>
      </w:r>
      <w:proofErr w:type="spellStart"/>
      <w:r w:rsidRPr="00AE0BBD">
        <w:rPr>
          <w:b/>
          <w:i/>
          <w:u w:val="single"/>
          <w:lang w:val="fr-FR"/>
        </w:rPr>
        <w:t>Mean</w:t>
      </w:r>
      <w:proofErr w:type="spellEnd"/>
      <w:r w:rsidRPr="00AE0BBD">
        <w:rPr>
          <w:b/>
          <w:i/>
          <w:u w:val="single"/>
          <w:lang w:val="fr-FR"/>
        </w:rPr>
        <w:t xml:space="preserve"> for World </w:t>
      </w:r>
      <w:proofErr w:type="spellStart"/>
      <w:r w:rsidRPr="00AE0BBD">
        <w:rPr>
          <w:b/>
          <w:i/>
          <w:u w:val="single"/>
          <w:lang w:val="fr-FR"/>
        </w:rPr>
        <w:t>Order</w:t>
      </w:r>
      <w:proofErr w:type="spellEnd"/>
      <w:r w:rsidRPr="00AE0BBD">
        <w:rPr>
          <w:b/>
          <w:i/>
          <w:u w:val="single"/>
          <w:lang w:val="fr-FR"/>
        </w:rPr>
        <w:t xml:space="preserve">, Sean </w:t>
      </w:r>
      <w:proofErr w:type="spellStart"/>
      <w:r w:rsidRPr="00AE0BBD">
        <w:rPr>
          <w:b/>
          <w:i/>
          <w:u w:val="single"/>
          <w:lang w:val="fr-FR"/>
        </w:rPr>
        <w:t>McFate</w:t>
      </w:r>
      <w:proofErr w:type="spellEnd"/>
      <w:r w:rsidRPr="00AE0BBD">
        <w:rPr>
          <w:b/>
          <w:i/>
          <w:u w:val="single"/>
          <w:lang w:val="fr-FR"/>
        </w:rPr>
        <w:t>:</w:t>
      </w:r>
      <w:r w:rsidRPr="00AE0BBD">
        <w:rPr>
          <w:lang w:val="fr-FR"/>
        </w:rPr>
        <w:t xml:space="preserve"> Autour de la Somalie, </w:t>
      </w:r>
      <w:r w:rsidRPr="00A17FED">
        <w:rPr>
          <w:b/>
          <w:color w:val="0070C0"/>
          <w:lang w:val="fr-FR"/>
        </w:rPr>
        <w:t>180 sociétés privées venant de 35 pays</w:t>
      </w:r>
      <w:r w:rsidRPr="00AE0BBD">
        <w:rPr>
          <w:lang w:val="fr-FR"/>
        </w:rPr>
        <w:t xml:space="preserve"> ass</w:t>
      </w:r>
      <w:r>
        <w:rPr>
          <w:lang w:val="fr-FR"/>
        </w:rPr>
        <w:t>urent la sécurité des navires commerciaux (pour 10% de la somme exigée par les gouvernements pour la même mission)</w:t>
      </w:r>
      <w:proofErr w:type="gramStart"/>
      <w:r>
        <w:rPr>
          <w:lang w:val="fr-FR"/>
        </w:rPr>
        <w:t>,ils</w:t>
      </w:r>
      <w:proofErr w:type="gramEnd"/>
      <w:r>
        <w:rPr>
          <w:lang w:val="fr-FR"/>
        </w:rPr>
        <w:t xml:space="preserve"> ont formé l’Association de Sécurité pour la Sécurité Maritime. Fin de la GF </w:t>
      </w:r>
      <w:r w:rsidRPr="00AE0BBD">
        <w:rPr>
          <w:lang w:val="fr-FR"/>
        </w:rPr>
        <w:sym w:font="Wingdings" w:char="F0E0"/>
      </w:r>
      <w:r>
        <w:rPr>
          <w:lang w:val="fr-FR"/>
        </w:rPr>
        <w:t xml:space="preserve"> groupes armés. Exemple : </w:t>
      </w:r>
      <w:proofErr w:type="spellStart"/>
      <w:r w:rsidRPr="00894BD0">
        <w:rPr>
          <w:b/>
          <w:color w:val="009900"/>
          <w:lang w:val="fr-FR"/>
        </w:rPr>
        <w:t>Executive</w:t>
      </w:r>
      <w:proofErr w:type="spellEnd"/>
      <w:r w:rsidRPr="00894BD0">
        <w:rPr>
          <w:b/>
          <w:color w:val="009900"/>
          <w:lang w:val="fr-FR"/>
        </w:rPr>
        <w:t xml:space="preserve"> </w:t>
      </w:r>
      <w:proofErr w:type="spellStart"/>
      <w:r w:rsidRPr="00894BD0">
        <w:rPr>
          <w:b/>
          <w:color w:val="009900"/>
          <w:lang w:val="fr-FR"/>
        </w:rPr>
        <w:t>Outcomes</w:t>
      </w:r>
      <w:proofErr w:type="spellEnd"/>
      <w:r>
        <w:rPr>
          <w:lang w:val="fr-FR"/>
        </w:rPr>
        <w:t xml:space="preserve"> a aidé à stopper le génocide rwandais en 1994, l’ONU l’a dissoute. </w:t>
      </w:r>
      <w:proofErr w:type="spellStart"/>
      <w:r w:rsidRPr="005A38E7">
        <w:rPr>
          <w:b/>
          <w:u w:val="single"/>
          <w:lang w:val="fr-FR"/>
        </w:rPr>
        <w:t>Néomédiavalisme</w:t>
      </w:r>
      <w:proofErr w:type="spellEnd"/>
      <w:r w:rsidRPr="005A38E7">
        <w:rPr>
          <w:b/>
          <w:lang w:val="fr-FR"/>
        </w:rPr>
        <w:t> : l’Etat perd le monopole de la force</w:t>
      </w:r>
      <w:r>
        <w:rPr>
          <w:lang w:val="fr-FR"/>
        </w:rPr>
        <w:t xml:space="preserve"> ! Marché à réguler. </w:t>
      </w:r>
    </w:p>
    <w:p w:rsidR="002C7B32" w:rsidRPr="00AE0BBD" w:rsidRDefault="002C7B32" w:rsidP="002C7B32">
      <w:pPr>
        <w:rPr>
          <w:lang w:val="fr-FR"/>
        </w:rPr>
      </w:pPr>
    </w:p>
    <w:sectPr w:rsidR="002C7B32" w:rsidRPr="00AE0BBD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2pt;height:9.2pt" o:bullet="t">
        <v:imagedata r:id="rId1" o:title="BD14755_"/>
      </v:shape>
    </w:pict>
  </w:numPicBullet>
  <w:abstractNum w:abstractNumId="0">
    <w:nsid w:val="1544175A"/>
    <w:multiLevelType w:val="hybridMultilevel"/>
    <w:tmpl w:val="03A05708"/>
    <w:lvl w:ilvl="0" w:tplc="51D494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AE0BBD"/>
    <w:rsid w:val="00050697"/>
    <w:rsid w:val="00091ECC"/>
    <w:rsid w:val="000E3387"/>
    <w:rsid w:val="000E5421"/>
    <w:rsid w:val="001354EE"/>
    <w:rsid w:val="00161623"/>
    <w:rsid w:val="001B3F30"/>
    <w:rsid w:val="001E4C5F"/>
    <w:rsid w:val="00200D72"/>
    <w:rsid w:val="0025355E"/>
    <w:rsid w:val="002C7B32"/>
    <w:rsid w:val="002E15D1"/>
    <w:rsid w:val="002F61C0"/>
    <w:rsid w:val="003D0E38"/>
    <w:rsid w:val="003E394A"/>
    <w:rsid w:val="00402F55"/>
    <w:rsid w:val="0040419A"/>
    <w:rsid w:val="00470696"/>
    <w:rsid w:val="00496709"/>
    <w:rsid w:val="004B1DB4"/>
    <w:rsid w:val="004D0689"/>
    <w:rsid w:val="005A38E7"/>
    <w:rsid w:val="005E5F31"/>
    <w:rsid w:val="006056A8"/>
    <w:rsid w:val="00652696"/>
    <w:rsid w:val="006740A2"/>
    <w:rsid w:val="006A531C"/>
    <w:rsid w:val="006D6342"/>
    <w:rsid w:val="006E5EE4"/>
    <w:rsid w:val="0073040E"/>
    <w:rsid w:val="0073088F"/>
    <w:rsid w:val="007A2E16"/>
    <w:rsid w:val="007D7565"/>
    <w:rsid w:val="008205E6"/>
    <w:rsid w:val="008332D2"/>
    <w:rsid w:val="0086045E"/>
    <w:rsid w:val="008640F5"/>
    <w:rsid w:val="008665E2"/>
    <w:rsid w:val="00894BD0"/>
    <w:rsid w:val="00921242"/>
    <w:rsid w:val="00A158CF"/>
    <w:rsid w:val="00A17FED"/>
    <w:rsid w:val="00A2024B"/>
    <w:rsid w:val="00A364D8"/>
    <w:rsid w:val="00A442D9"/>
    <w:rsid w:val="00A7322E"/>
    <w:rsid w:val="00A877BB"/>
    <w:rsid w:val="00AA389B"/>
    <w:rsid w:val="00AE0BBD"/>
    <w:rsid w:val="00AE672B"/>
    <w:rsid w:val="00B17F69"/>
    <w:rsid w:val="00B65C9D"/>
    <w:rsid w:val="00B67651"/>
    <w:rsid w:val="00B75FE6"/>
    <w:rsid w:val="00B81E4B"/>
    <w:rsid w:val="00B95C52"/>
    <w:rsid w:val="00C41E68"/>
    <w:rsid w:val="00CA3494"/>
    <w:rsid w:val="00D03209"/>
    <w:rsid w:val="00D17615"/>
    <w:rsid w:val="00D828E2"/>
    <w:rsid w:val="00E22FF0"/>
    <w:rsid w:val="00E4387F"/>
    <w:rsid w:val="00E44AD9"/>
    <w:rsid w:val="00F1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5E"/>
    <w:pPr>
      <w:spacing w:before="120" w:line="240" w:lineRule="auto"/>
    </w:pPr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after="0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  <w:style w:type="paragraph" w:styleId="Paragraphedeliste">
    <w:name w:val="List Paragraph"/>
    <w:basedOn w:val="Normal"/>
    <w:uiPriority w:val="34"/>
    <w:unhideWhenUsed/>
    <w:qFormat/>
    <w:rsid w:val="00921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46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Cornilliet</dc:creator>
  <cp:lastModifiedBy>Mehdi Cornilliet</cp:lastModifiedBy>
  <cp:revision>8</cp:revision>
  <cp:lastPrinted>2012-08-02T20:18:00Z</cp:lastPrinted>
  <dcterms:created xsi:type="dcterms:W3CDTF">2015-02-04T11:11:00Z</dcterms:created>
  <dcterms:modified xsi:type="dcterms:W3CDTF">2015-03-19T15:28:00Z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