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2C7B32" w:rsidP="002C7B32">
      <w:pPr>
        <w:pStyle w:val="Titre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6C4C60" w:rsidRPr="006C4C60">
        <w:rPr>
          <w:noProof/>
          <w:lang w:val="fr-FR"/>
        </w:rPr>
        <w:sym w:font="Wingdings" w:char="F0E0"/>
      </w:r>
      <w:r w:rsidR="00AF277F">
        <w:rPr>
          <w:noProof/>
          <w:lang w:val="fr-FR"/>
        </w:rPr>
        <w:t>GOUVERNANCE</w:t>
      </w:r>
      <w:r w:rsidR="00FF7B58" w:rsidRPr="00FF7B58">
        <w:rPr>
          <w:noProof/>
          <w:lang w:val="fr-FR"/>
        </w:rPr>
        <w:sym w:font="Wingdings" w:char="F0DF"/>
      </w:r>
      <w:r w:rsidR="006C4C60" w:rsidRPr="006C4C60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</w:p>
    <w:p w:rsidR="005D3D40" w:rsidRDefault="002C7B32" w:rsidP="00F81855">
      <w:pPr>
        <w:pStyle w:val="Titre1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5D3D40" w:rsidRPr="005D3D40" w:rsidRDefault="005B318D" w:rsidP="005D3D40">
      <w:pPr>
        <w:rPr>
          <w:lang w:val="fr-FR" w:eastAsia="nb-NO"/>
        </w:rPr>
      </w:pPr>
      <w:r w:rsidRPr="005B318D">
        <w:rPr>
          <w:b/>
          <w:lang w:val="fr-FR" w:eastAsia="nb-NO"/>
        </w:rPr>
        <w:t>Connivence</w:t>
      </w:r>
      <w:r>
        <w:rPr>
          <w:lang w:val="fr-FR" w:eastAsia="nb-NO"/>
        </w:rPr>
        <w:t xml:space="preserve"> : entre Etats et entreprises, se rendent mutuellement service, notamment dans les émergents. – </w:t>
      </w:r>
      <w:r w:rsidR="005D3D40" w:rsidRPr="005B318D">
        <w:rPr>
          <w:b/>
          <w:lang w:val="fr-FR" w:eastAsia="nb-NO"/>
        </w:rPr>
        <w:t>Gouvernance</w:t>
      </w:r>
      <w:r w:rsidR="005D3D40">
        <w:rPr>
          <w:lang w:val="fr-FR" w:eastAsia="nb-NO"/>
        </w:rPr>
        <w:t> :</w:t>
      </w:r>
      <w:r w:rsidR="005D3D40" w:rsidRPr="005D3D40">
        <w:rPr>
          <w:lang w:val="fr-FR" w:eastAsia="nb-NO"/>
        </w:rPr>
        <w:t xml:space="preserve"> régulation collective des problèmes universels donc les formes de régulation de la mondialisation</w:t>
      </w:r>
      <w:r w:rsidR="005D3D40">
        <w:rPr>
          <w:lang w:val="fr-FR" w:eastAsia="nb-NO"/>
        </w:rPr>
        <w:t xml:space="preserve"> – </w:t>
      </w:r>
      <w:r w:rsidR="00D329F4" w:rsidRPr="005B318D">
        <w:rPr>
          <w:b/>
          <w:lang w:val="fr-FR" w:eastAsia="nb-NO"/>
        </w:rPr>
        <w:t>ONG</w:t>
      </w:r>
      <w:r w:rsidR="00D329F4">
        <w:rPr>
          <w:lang w:val="fr-FR" w:eastAsia="nb-NO"/>
        </w:rPr>
        <w:t xml:space="preserve"> : </w:t>
      </w:r>
      <w:r w:rsidR="00D329F4" w:rsidRPr="00D329F4">
        <w:rPr>
          <w:lang w:val="fr-FR" w:eastAsia="nb-NO"/>
        </w:rPr>
        <w:t>organisation indépendante d’un Etat, à but non lucratif,</w:t>
      </w:r>
      <w:r w:rsidR="00D329F4">
        <w:rPr>
          <w:lang w:val="fr-FR" w:eastAsia="nb-NO"/>
        </w:rPr>
        <w:t xml:space="preserve"> qui</w:t>
      </w:r>
      <w:r w:rsidR="00D329F4" w:rsidRPr="00D329F4">
        <w:rPr>
          <w:lang w:val="fr-FR" w:eastAsia="nb-NO"/>
        </w:rPr>
        <w:t xml:space="preserve"> agit dans le domaine social ou économique car se préoccupe des citoyens, à vocation internationale, en réseau avec d’autres associations.</w:t>
      </w:r>
    </w:p>
    <w:p w:rsidR="00F81855" w:rsidRDefault="008665E2" w:rsidP="00F81855">
      <w:pPr>
        <w:pStyle w:val="Titre1"/>
        <w:rPr>
          <w:noProof/>
          <w:lang w:val="fr-FR" w:eastAsia="nb-NO"/>
        </w:rPr>
      </w:pPr>
      <w:r>
        <w:rPr>
          <w:noProof/>
          <w:lang w:val="fr-FR" w:eastAsia="nb-NO"/>
        </w:rPr>
        <w:t>CHiffres :</w:t>
      </w:r>
    </w:p>
    <w:p w:rsidR="00F81855" w:rsidRDefault="00F81855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>1945 : fondation de l’</w:t>
      </w:r>
      <w:r w:rsidRPr="005B318D">
        <w:rPr>
          <w:b/>
          <w:lang w:val="fr-FR" w:eastAsia="nb-NO"/>
        </w:rPr>
        <w:t>ONU</w:t>
      </w:r>
      <w:r>
        <w:rPr>
          <w:lang w:val="fr-FR" w:eastAsia="nb-NO"/>
        </w:rPr>
        <w:t xml:space="preserve"> (traité de San Francisco) et création du FMI.</w:t>
      </w:r>
    </w:p>
    <w:p w:rsidR="005D3D40" w:rsidRDefault="005D3D40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1964 : création du G77. Contrepoids au G8 aujourd’hui. </w:t>
      </w:r>
    </w:p>
    <w:p w:rsidR="00D329F4" w:rsidRDefault="00D329F4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1971 : création de </w:t>
      </w:r>
      <w:r w:rsidRPr="005B318D">
        <w:rPr>
          <w:b/>
          <w:lang w:val="fr-FR" w:eastAsia="nb-NO"/>
        </w:rPr>
        <w:t>Médecins sans Frontières</w:t>
      </w:r>
      <w:r>
        <w:rPr>
          <w:lang w:val="fr-FR" w:eastAsia="nb-NO"/>
        </w:rPr>
        <w:t xml:space="preserve"> lors de la Guerre du </w:t>
      </w:r>
      <w:r w:rsidRPr="005B318D">
        <w:rPr>
          <w:b/>
          <w:lang w:val="fr-FR" w:eastAsia="nb-NO"/>
        </w:rPr>
        <w:t>Biafra</w:t>
      </w:r>
      <w:r>
        <w:rPr>
          <w:lang w:val="fr-FR" w:eastAsia="nb-NO"/>
        </w:rPr>
        <w:t>. Budget annuel : 700M$</w:t>
      </w:r>
    </w:p>
    <w:p w:rsidR="00F81855" w:rsidRDefault="005D3D40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>1975 : création du G8 à Rambouillet, à l’initiative de VGE et Schmidt. A été crée pour résoudre les problèmes liés au choc pétrolier. Intégration de la Russie en 1998.</w:t>
      </w:r>
    </w:p>
    <w:p w:rsidR="005D3D40" w:rsidRDefault="005D3D40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>1989 : création du G15, 18 pays aujourd’hui</w:t>
      </w:r>
      <w:r w:rsidR="00066821">
        <w:rPr>
          <w:lang w:val="fr-FR" w:eastAsia="nb-NO"/>
        </w:rPr>
        <w:t xml:space="preserve"> (Inde, Mexique, Indonésie, Brésil, Iran, Nigéria, Argentine, Venezuela, Kenya, etc.)</w:t>
      </w:r>
    </w:p>
    <w:p w:rsidR="00D329F4" w:rsidRDefault="00446358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Entre 1990 et 2005 : </w:t>
      </w:r>
      <w:r w:rsidRPr="005B318D">
        <w:rPr>
          <w:b/>
          <w:lang w:val="fr-FR" w:eastAsia="nb-NO"/>
        </w:rPr>
        <w:t>15 années du multilatéralisme</w:t>
      </w:r>
      <w:r>
        <w:rPr>
          <w:lang w:val="fr-FR" w:eastAsia="nb-NO"/>
        </w:rPr>
        <w:t xml:space="preserve"> avec le sommet de la Terre à Rio et l’interdiction des armes chimiques (1992), traité de Marrakech instituant l’OMC (1994), interdiction des essais nucléaires (1996), Kyoto (1997), Carthagène (2000). </w:t>
      </w:r>
    </w:p>
    <w:p w:rsidR="00D329F4" w:rsidRDefault="00D329F4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1999 : création du G20 (G8 + pays du Sud les plus représentatifs). </w:t>
      </w:r>
      <w:r w:rsidRPr="005B318D">
        <w:rPr>
          <w:b/>
          <w:lang w:val="fr-FR" w:eastAsia="nb-NO"/>
        </w:rPr>
        <w:t>6</w:t>
      </w:r>
      <w:r w:rsidR="00BA07E9" w:rsidRPr="005B318D">
        <w:rPr>
          <w:b/>
          <w:lang w:val="fr-FR" w:eastAsia="nb-NO"/>
        </w:rPr>
        <w:t>5%</w:t>
      </w:r>
      <w:r w:rsidR="00BA07E9">
        <w:rPr>
          <w:lang w:val="fr-FR" w:eastAsia="nb-NO"/>
        </w:rPr>
        <w:t xml:space="preserve"> de la pop</w:t>
      </w:r>
      <w:r w:rsidR="005B318D">
        <w:rPr>
          <w:lang w:val="fr-FR" w:eastAsia="nb-NO"/>
        </w:rPr>
        <w:t>ulation</w:t>
      </w:r>
      <w:r w:rsidR="00BA07E9">
        <w:rPr>
          <w:lang w:val="fr-FR" w:eastAsia="nb-NO"/>
        </w:rPr>
        <w:t xml:space="preserve"> m</w:t>
      </w:r>
      <w:r>
        <w:rPr>
          <w:lang w:val="fr-FR" w:eastAsia="nb-NO"/>
        </w:rPr>
        <w:t xml:space="preserve">ondiale et </w:t>
      </w:r>
      <w:r w:rsidRPr="005B318D">
        <w:rPr>
          <w:b/>
          <w:lang w:val="fr-FR" w:eastAsia="nb-NO"/>
        </w:rPr>
        <w:t>90%</w:t>
      </w:r>
      <w:r>
        <w:rPr>
          <w:lang w:val="fr-FR" w:eastAsia="nb-NO"/>
        </w:rPr>
        <w:t xml:space="preserve"> des richesses produites. </w:t>
      </w:r>
    </w:p>
    <w:p w:rsidR="00D329F4" w:rsidRDefault="00D329F4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>2002 :</w:t>
      </w:r>
      <w:r w:rsidR="00A92B91">
        <w:rPr>
          <w:lang w:val="fr-FR" w:eastAsia="nb-NO"/>
        </w:rPr>
        <w:t xml:space="preserve"> traité de Rome,</w:t>
      </w:r>
      <w:r>
        <w:rPr>
          <w:lang w:val="fr-FR" w:eastAsia="nb-NO"/>
        </w:rPr>
        <w:t xml:space="preserve"> mise en place de la</w:t>
      </w:r>
      <w:r w:rsidR="00A92B91">
        <w:rPr>
          <w:lang w:val="fr-FR" w:eastAsia="nb-NO"/>
        </w:rPr>
        <w:t xml:space="preserve"> </w:t>
      </w:r>
      <w:r w:rsidR="00342FD3">
        <w:rPr>
          <w:lang w:val="fr-FR" w:eastAsia="nb-NO"/>
        </w:rPr>
        <w:t xml:space="preserve">CPI, signé par 121 pays. Jugés : T. </w:t>
      </w:r>
      <w:proofErr w:type="spellStart"/>
      <w:r w:rsidR="00342FD3">
        <w:rPr>
          <w:lang w:val="fr-FR" w:eastAsia="nb-NO"/>
        </w:rPr>
        <w:t>Lubanga</w:t>
      </w:r>
      <w:proofErr w:type="spellEnd"/>
      <w:r w:rsidR="00342FD3">
        <w:rPr>
          <w:lang w:val="fr-FR" w:eastAsia="nb-NO"/>
        </w:rPr>
        <w:t xml:space="preserve">, L. Gbagbo, C. Taylor, C. Blé </w:t>
      </w:r>
      <w:proofErr w:type="spellStart"/>
      <w:r w:rsidR="00342FD3">
        <w:rPr>
          <w:lang w:val="fr-FR" w:eastAsia="nb-NO"/>
        </w:rPr>
        <w:t>Goudé</w:t>
      </w:r>
      <w:proofErr w:type="spellEnd"/>
      <w:r w:rsidR="00342FD3">
        <w:rPr>
          <w:lang w:val="fr-FR" w:eastAsia="nb-NO"/>
        </w:rPr>
        <w:t>.</w:t>
      </w:r>
    </w:p>
    <w:p w:rsidR="00306A85" w:rsidRPr="00F81855" w:rsidRDefault="00306A85" w:rsidP="00D329F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>2008 : début de la crise des subprimes. Plans de relance : 789Mds$ aux USA (85Mds$ AIG, 50Mds$ GM), 1700Mds€ en Europe</w:t>
      </w:r>
      <w:r w:rsidR="00BA07E9">
        <w:rPr>
          <w:lang w:val="fr-FR" w:eastAsia="nb-NO"/>
        </w:rPr>
        <w:t>.</w:t>
      </w:r>
    </w:p>
    <w:p w:rsidR="002C7B3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D329F4" w:rsidRDefault="00D329F4" w:rsidP="00D329F4">
      <w:pPr>
        <w:rPr>
          <w:lang w:val="fr-FR"/>
        </w:rPr>
      </w:pPr>
      <w:r w:rsidRPr="005E6B65">
        <w:rPr>
          <w:b/>
          <w:lang w:val="fr-FR"/>
        </w:rPr>
        <w:t>Fondation Bill &amp; Melinda Gates</w:t>
      </w:r>
      <w:r>
        <w:rPr>
          <w:lang w:val="fr-FR"/>
        </w:rPr>
        <w:t xml:space="preserve"> (2000) : n’est pas véritablement d’une ONG, mais elle est plus puissante. Gates y consacre 95% de sa fortune à la fondation. A convaincu certains hommes fortunés (comme Buffet) d’alimenter cette association. Centré sur la </w:t>
      </w:r>
      <w:r w:rsidRPr="005B318D">
        <w:rPr>
          <w:b/>
          <w:lang w:val="fr-FR"/>
        </w:rPr>
        <w:t>santé</w:t>
      </w:r>
      <w:r>
        <w:rPr>
          <w:lang w:val="fr-FR"/>
        </w:rPr>
        <w:t xml:space="preserve"> et l’</w:t>
      </w:r>
      <w:r w:rsidRPr="005B318D">
        <w:rPr>
          <w:b/>
          <w:lang w:val="fr-FR"/>
        </w:rPr>
        <w:t>éducation</w:t>
      </w:r>
      <w:r>
        <w:rPr>
          <w:lang w:val="fr-FR"/>
        </w:rPr>
        <w:t>. Constitué d’un capital de 40Mds$. En 2010, 2,5Mds$ de dépenses. Budget plus  important que l’OMS, a dépensé 450 millions de $ pour la recherche d’un vaccin contre le paludisme.</w:t>
      </w:r>
    </w:p>
    <w:p w:rsidR="00E15C13" w:rsidRDefault="00E15C13" w:rsidP="00D329F4">
      <w:pPr>
        <w:rPr>
          <w:lang w:val="fr-FR"/>
        </w:rPr>
      </w:pPr>
      <w:r>
        <w:rPr>
          <w:lang w:val="fr-FR"/>
        </w:rPr>
        <w:t>Endettement : l’Etat s’affaiblit lui-même et mine sa capacité d’action. 110% d’endettement aux USA, 100 en France, 250% au Japon</w:t>
      </w:r>
      <w:r w:rsidR="0077001C">
        <w:rPr>
          <w:lang w:val="fr-FR"/>
        </w:rPr>
        <w:t>.</w:t>
      </w:r>
    </w:p>
    <w:p w:rsidR="0077001C" w:rsidRDefault="0077001C" w:rsidP="00D329F4">
      <w:pPr>
        <w:rPr>
          <w:lang w:val="fr-FR"/>
        </w:rPr>
      </w:pPr>
      <w:r>
        <w:rPr>
          <w:lang w:val="fr-FR"/>
        </w:rPr>
        <w:t xml:space="preserve">Au </w:t>
      </w:r>
      <w:r w:rsidRPr="005B318D">
        <w:rPr>
          <w:b/>
          <w:lang w:val="fr-FR"/>
        </w:rPr>
        <w:t>Soudan du Sud</w:t>
      </w:r>
      <w:r>
        <w:rPr>
          <w:lang w:val="fr-FR"/>
        </w:rPr>
        <w:t> : 98% des recettes nationales proviennent du pétrole tandis que 90% des services étatiques sont assurés par des étrangers (ONU, ONG…)</w:t>
      </w:r>
    </w:p>
    <w:p w:rsidR="004F02D4" w:rsidRDefault="004F02D4" w:rsidP="00D329F4">
      <w:pPr>
        <w:rPr>
          <w:lang w:val="fr-FR"/>
        </w:rPr>
      </w:pPr>
      <w:r>
        <w:rPr>
          <w:lang w:val="fr-FR"/>
        </w:rPr>
        <w:t xml:space="preserve">Etats : ils ne se laissent pas tous faire ! Au </w:t>
      </w:r>
      <w:r w:rsidRPr="005B318D">
        <w:rPr>
          <w:b/>
          <w:lang w:val="fr-FR"/>
        </w:rPr>
        <w:t>Burkina</w:t>
      </w:r>
      <w:r w:rsidR="005B318D" w:rsidRPr="005B318D">
        <w:rPr>
          <w:b/>
          <w:lang w:val="fr-FR"/>
        </w:rPr>
        <w:t xml:space="preserve"> Faso</w:t>
      </w:r>
      <w:r>
        <w:rPr>
          <w:lang w:val="fr-FR"/>
        </w:rPr>
        <w:t xml:space="preserve">, l’Etat perçoit 17% du CA de 6 mines industrielles, la </w:t>
      </w:r>
      <w:r w:rsidRPr="005B318D">
        <w:rPr>
          <w:b/>
          <w:lang w:val="fr-FR"/>
        </w:rPr>
        <w:t>Namibie</w:t>
      </w:r>
      <w:r>
        <w:rPr>
          <w:lang w:val="fr-FR"/>
        </w:rPr>
        <w:t xml:space="preserve"> accorde l’exploitation de ses minerais stratégiques à </w:t>
      </w:r>
      <w:proofErr w:type="spellStart"/>
      <w:r w:rsidRPr="005B318D">
        <w:rPr>
          <w:b/>
          <w:lang w:val="fr-FR"/>
        </w:rPr>
        <w:t>Epangelo</w:t>
      </w:r>
      <w:proofErr w:type="spellEnd"/>
      <w:r w:rsidRPr="005B318D">
        <w:rPr>
          <w:b/>
          <w:lang w:val="fr-FR"/>
        </w:rPr>
        <w:t xml:space="preserve"> </w:t>
      </w:r>
      <w:proofErr w:type="spellStart"/>
      <w:r w:rsidRPr="005B318D">
        <w:rPr>
          <w:b/>
          <w:lang w:val="fr-FR"/>
        </w:rPr>
        <w:t>Mining</w:t>
      </w:r>
      <w:proofErr w:type="spellEnd"/>
      <w:r>
        <w:rPr>
          <w:lang w:val="fr-FR"/>
        </w:rPr>
        <w:t xml:space="preserve">, sa compagnie locale. En août 1994, le </w:t>
      </w:r>
      <w:r w:rsidRPr="005B318D">
        <w:rPr>
          <w:b/>
          <w:lang w:val="fr-FR"/>
        </w:rPr>
        <w:t xml:space="preserve">Tchad </w:t>
      </w:r>
      <w:r>
        <w:rPr>
          <w:lang w:val="fr-FR"/>
        </w:rPr>
        <w:t xml:space="preserve">a retiré ses permis de prospection à la </w:t>
      </w:r>
      <w:r w:rsidRPr="005B318D">
        <w:rPr>
          <w:b/>
          <w:lang w:val="fr-FR"/>
        </w:rPr>
        <w:t>CNPI (</w:t>
      </w:r>
      <w:r w:rsidRPr="005B318D">
        <w:rPr>
          <w:b/>
          <w:i/>
          <w:lang w:val="fr-FR"/>
        </w:rPr>
        <w:t xml:space="preserve">China National </w:t>
      </w:r>
      <w:proofErr w:type="spellStart"/>
      <w:r w:rsidRPr="005B318D">
        <w:rPr>
          <w:b/>
          <w:i/>
          <w:lang w:val="fr-FR"/>
        </w:rPr>
        <w:t>Petroleum</w:t>
      </w:r>
      <w:proofErr w:type="spellEnd"/>
      <w:r w:rsidRPr="005B318D">
        <w:rPr>
          <w:b/>
          <w:i/>
          <w:lang w:val="fr-FR"/>
        </w:rPr>
        <w:t xml:space="preserve"> International</w:t>
      </w:r>
      <w:r w:rsidRPr="005B318D">
        <w:rPr>
          <w:b/>
          <w:lang w:val="fr-FR"/>
        </w:rPr>
        <w:t>)</w:t>
      </w:r>
      <w:r>
        <w:rPr>
          <w:lang w:val="fr-FR"/>
        </w:rPr>
        <w:t xml:space="preserve"> pour atteinte à l’environnement. </w:t>
      </w:r>
    </w:p>
    <w:p w:rsidR="006D634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2C7B32" w:rsidRDefault="00C01C20" w:rsidP="002C7B32">
      <w:pPr>
        <w:rPr>
          <w:lang w:val="fr-FR"/>
        </w:rPr>
      </w:pPr>
      <w:r w:rsidRPr="005D3D40">
        <w:rPr>
          <w:b/>
          <w:i/>
          <w:u w:val="single"/>
          <w:lang w:val="fr-FR"/>
        </w:rPr>
        <w:t>Katanga Business, Thierry Michel</w:t>
      </w:r>
      <w:r w:rsidRPr="00C01C20">
        <w:rPr>
          <w:lang w:val="fr-FR"/>
        </w:rPr>
        <w:t xml:space="preserve"> :</w:t>
      </w:r>
      <w:r>
        <w:rPr>
          <w:lang w:val="fr-FR"/>
        </w:rPr>
        <w:t xml:space="preserve"> film s’interrogeant sur la multiplication d’acteurs au Katanga. </w:t>
      </w:r>
    </w:p>
    <w:p w:rsidR="005D3D40" w:rsidRDefault="005D3D40" w:rsidP="002C7B32">
      <w:pPr>
        <w:rPr>
          <w:lang w:val="fr-FR"/>
        </w:rPr>
      </w:pPr>
      <w:r w:rsidRPr="005D3D40">
        <w:rPr>
          <w:b/>
          <w:i/>
          <w:u w:val="single"/>
          <w:lang w:val="fr-FR"/>
        </w:rPr>
        <w:t>The End of the Nation State</w:t>
      </w:r>
      <w:r>
        <w:rPr>
          <w:b/>
          <w:i/>
          <w:u w:val="single"/>
          <w:lang w:val="fr-FR"/>
        </w:rPr>
        <w:t>,</w:t>
      </w:r>
      <w:r w:rsidRPr="005D3D40">
        <w:rPr>
          <w:b/>
          <w:i/>
          <w:u w:val="single"/>
          <w:lang w:val="fr-FR"/>
        </w:rPr>
        <w:t xml:space="preserve"> </w:t>
      </w:r>
      <w:proofErr w:type="spellStart"/>
      <w:r w:rsidRPr="005D3D40">
        <w:rPr>
          <w:b/>
          <w:i/>
          <w:u w:val="single"/>
          <w:lang w:val="fr-FR"/>
        </w:rPr>
        <w:t>Kenichi</w:t>
      </w:r>
      <w:proofErr w:type="spellEnd"/>
      <w:r w:rsidRPr="005D3D40">
        <w:rPr>
          <w:b/>
          <w:i/>
          <w:u w:val="single"/>
          <w:lang w:val="fr-FR"/>
        </w:rPr>
        <w:t xml:space="preserve"> </w:t>
      </w:r>
      <w:proofErr w:type="spellStart"/>
      <w:r w:rsidRPr="005D3D40">
        <w:rPr>
          <w:b/>
          <w:i/>
          <w:u w:val="single"/>
          <w:lang w:val="fr-FR"/>
        </w:rPr>
        <w:t>Ohmae</w:t>
      </w:r>
      <w:proofErr w:type="spellEnd"/>
      <w:r w:rsidRPr="005D3D40">
        <w:rPr>
          <w:lang w:val="fr-FR"/>
        </w:rPr>
        <w:t xml:space="preserve"> (1995) : </w:t>
      </w:r>
      <w:r w:rsidR="00E15C13">
        <w:rPr>
          <w:lang w:val="fr-FR"/>
        </w:rPr>
        <w:t>l’E</w:t>
      </w:r>
      <w:r w:rsidR="00E15C13" w:rsidRPr="00E15C13">
        <w:rPr>
          <w:lang w:val="fr-FR"/>
        </w:rPr>
        <w:t xml:space="preserve">tat n’est plus une échelle appropriée (maintenant, ce sont celles du monde ou celles régionales - Lombardie, Catalogne, Ile-de-France). Dans les 90s, il y a de </w:t>
      </w:r>
      <w:r w:rsidR="00E15C13">
        <w:rPr>
          <w:lang w:val="fr-FR"/>
        </w:rPr>
        <w:t>plus en plus</w:t>
      </w:r>
      <w:r w:rsidR="00E15C13" w:rsidRPr="00E15C13">
        <w:rPr>
          <w:lang w:val="fr-FR"/>
        </w:rPr>
        <w:t xml:space="preserve"> </w:t>
      </w:r>
      <w:r w:rsidR="00E15C13">
        <w:rPr>
          <w:lang w:val="fr-FR"/>
        </w:rPr>
        <w:t>d’unions régionales (ASEAN, UE)</w:t>
      </w:r>
      <w:r w:rsidR="00E15C13" w:rsidRPr="00E15C13">
        <w:rPr>
          <w:lang w:val="fr-FR"/>
        </w:rPr>
        <w:t xml:space="preserve"> rendant l’Etat moins utile. Capitaux, FMN, consommateurs et communications contribuent à l’effacement du rôle de l’Etat.  </w:t>
      </w:r>
    </w:p>
    <w:p w:rsidR="00167753" w:rsidRPr="005D3D40" w:rsidRDefault="00167753" w:rsidP="002C7B32">
      <w:pPr>
        <w:rPr>
          <w:lang w:val="fr-FR"/>
        </w:rPr>
      </w:pPr>
      <w:r w:rsidRPr="00167753">
        <w:rPr>
          <w:b/>
          <w:i/>
          <w:u w:val="single"/>
          <w:lang w:val="fr-FR"/>
        </w:rPr>
        <w:t xml:space="preserve">La diplomatie de connivence, Bertrand </w:t>
      </w:r>
      <w:proofErr w:type="spellStart"/>
      <w:r w:rsidRPr="00167753">
        <w:rPr>
          <w:b/>
          <w:i/>
          <w:u w:val="single"/>
          <w:lang w:val="fr-FR"/>
        </w:rPr>
        <w:t>Badie</w:t>
      </w:r>
      <w:proofErr w:type="spellEnd"/>
      <w:r>
        <w:rPr>
          <w:lang w:val="fr-FR"/>
        </w:rPr>
        <w:t xml:space="preserve"> : pas de pôles structurants dans la gouvernance, « marché libre de la puissance ». Trop d’institutions </w:t>
      </w:r>
      <w:r w:rsidRPr="00167753">
        <w:rPr>
          <w:lang w:val="fr-FR"/>
        </w:rPr>
        <w:sym w:font="Wingdings" w:char="F0E0"/>
      </w:r>
      <w:r>
        <w:rPr>
          <w:lang w:val="fr-FR"/>
        </w:rPr>
        <w:t xml:space="preserve"> absence de régulation, d’où un système anomique</w:t>
      </w:r>
      <w:r w:rsidR="006B7EA1">
        <w:rPr>
          <w:lang w:val="fr-FR"/>
        </w:rPr>
        <w:t>, désorganisé</w:t>
      </w:r>
      <w:r>
        <w:rPr>
          <w:lang w:val="fr-FR"/>
        </w:rPr>
        <w:t xml:space="preserve">. </w:t>
      </w:r>
    </w:p>
    <w:sectPr w:rsidR="00167753" w:rsidRPr="005D3D40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1566BD"/>
    <w:rsid w:val="00050697"/>
    <w:rsid w:val="00066821"/>
    <w:rsid w:val="000733C6"/>
    <w:rsid w:val="00091ECC"/>
    <w:rsid w:val="00093985"/>
    <w:rsid w:val="000E3387"/>
    <w:rsid w:val="001256FE"/>
    <w:rsid w:val="001566BD"/>
    <w:rsid w:val="00161623"/>
    <w:rsid w:val="00167753"/>
    <w:rsid w:val="00190A15"/>
    <w:rsid w:val="001A47F6"/>
    <w:rsid w:val="00263A15"/>
    <w:rsid w:val="00265EDF"/>
    <w:rsid w:val="002C7B32"/>
    <w:rsid w:val="002E15D1"/>
    <w:rsid w:val="002F61C0"/>
    <w:rsid w:val="00306A85"/>
    <w:rsid w:val="00342FD3"/>
    <w:rsid w:val="0035199D"/>
    <w:rsid w:val="003A1E55"/>
    <w:rsid w:val="003D0E38"/>
    <w:rsid w:val="003E394A"/>
    <w:rsid w:val="00402F55"/>
    <w:rsid w:val="00446358"/>
    <w:rsid w:val="00470696"/>
    <w:rsid w:val="00496709"/>
    <w:rsid w:val="004B1DB4"/>
    <w:rsid w:val="004B346D"/>
    <w:rsid w:val="004D0689"/>
    <w:rsid w:val="004F02D4"/>
    <w:rsid w:val="005B318D"/>
    <w:rsid w:val="005D3D40"/>
    <w:rsid w:val="005E5F31"/>
    <w:rsid w:val="006056A8"/>
    <w:rsid w:val="00652696"/>
    <w:rsid w:val="006740A2"/>
    <w:rsid w:val="006A531C"/>
    <w:rsid w:val="006B7EA1"/>
    <w:rsid w:val="006C4C60"/>
    <w:rsid w:val="006D6342"/>
    <w:rsid w:val="0073088F"/>
    <w:rsid w:val="0077001C"/>
    <w:rsid w:val="007A2E16"/>
    <w:rsid w:val="007D7565"/>
    <w:rsid w:val="008205E6"/>
    <w:rsid w:val="008332D2"/>
    <w:rsid w:val="0086045E"/>
    <w:rsid w:val="008640F5"/>
    <w:rsid w:val="008665E2"/>
    <w:rsid w:val="008B2652"/>
    <w:rsid w:val="00A158CF"/>
    <w:rsid w:val="00A2024B"/>
    <w:rsid w:val="00A364D8"/>
    <w:rsid w:val="00A442D9"/>
    <w:rsid w:val="00A7322E"/>
    <w:rsid w:val="00A877BB"/>
    <w:rsid w:val="00A92B91"/>
    <w:rsid w:val="00AE672B"/>
    <w:rsid w:val="00AF277F"/>
    <w:rsid w:val="00B17F69"/>
    <w:rsid w:val="00B65C9D"/>
    <w:rsid w:val="00B67651"/>
    <w:rsid w:val="00B75FE6"/>
    <w:rsid w:val="00B81E4B"/>
    <w:rsid w:val="00B92854"/>
    <w:rsid w:val="00B95C52"/>
    <w:rsid w:val="00BA07E9"/>
    <w:rsid w:val="00C01C20"/>
    <w:rsid w:val="00C20171"/>
    <w:rsid w:val="00CA3494"/>
    <w:rsid w:val="00D03209"/>
    <w:rsid w:val="00D329F4"/>
    <w:rsid w:val="00DA42EA"/>
    <w:rsid w:val="00E15C13"/>
    <w:rsid w:val="00E22FF0"/>
    <w:rsid w:val="00E4387F"/>
    <w:rsid w:val="00E44AD9"/>
    <w:rsid w:val="00F112FE"/>
    <w:rsid w:val="00F81855"/>
    <w:rsid w:val="00F90CB2"/>
    <w:rsid w:val="00FF341D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7F"/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 w:line="240" w:lineRule="auto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131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</vt:lpstr>
      <vt:lpstr>REFERENCES : </vt:lpstr>
      <vt:lpstr/>
    </vt:vector>
  </TitlesOfParts>
  <Company>Hewlett-Packard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 Cornilliet</cp:lastModifiedBy>
  <cp:revision>18</cp:revision>
  <cp:lastPrinted>2012-08-02T20:18:00Z</cp:lastPrinted>
  <dcterms:created xsi:type="dcterms:W3CDTF">2014-11-21T19:35:00Z</dcterms:created>
  <dcterms:modified xsi:type="dcterms:W3CDTF">2015-03-19T13:59:00Z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