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Default="002C7B32" w:rsidP="00641A71">
      <w:pPr>
        <w:pStyle w:val="Titre"/>
        <w:spacing w:line="240" w:lineRule="auto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35199D" w:rsidRPr="0035199D">
        <w:rPr>
          <w:noProof/>
          <w:lang w:val="fr-FR"/>
        </w:rPr>
        <w:sym w:font="Wingdings" w:char="F0E0"/>
      </w:r>
      <w:r w:rsidR="006C4C60" w:rsidRPr="006C4C60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35199D">
        <w:rPr>
          <w:noProof/>
          <w:lang w:val="fr-FR"/>
        </w:rPr>
        <w:t>ENERGIE</w:t>
      </w:r>
      <w:r w:rsidR="0035199D" w:rsidRPr="0035199D">
        <w:rPr>
          <w:noProof/>
          <w:lang w:val="fr-FR"/>
        </w:rPr>
        <w:sym w:font="Wingdings" w:char="F0DF"/>
      </w:r>
      <w:r w:rsidR="00190A15" w:rsidRPr="00190A15">
        <w:rPr>
          <w:noProof/>
          <w:lang w:val="fr-FR"/>
        </w:rPr>
        <w:sym w:font="Wingdings" w:char="F0DF"/>
      </w:r>
      <w:r w:rsidR="006C4C60" w:rsidRPr="006C4C60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433499" w:rsidRPr="002C7B32" w:rsidRDefault="00433499" w:rsidP="00641A71">
      <w:pPr>
        <w:pStyle w:val="Titre"/>
        <w:spacing w:line="240" w:lineRule="auto"/>
        <w:jc w:val="center"/>
        <w:rPr>
          <w:noProof/>
          <w:lang w:val="fr-FR"/>
        </w:rPr>
      </w:pPr>
      <w:r w:rsidRPr="0035199D">
        <w:rPr>
          <w:noProof/>
          <w:lang w:val="fr-FR"/>
        </w:rPr>
        <w:sym w:font="Wingdings" w:char="F0E0"/>
      </w:r>
      <w:r>
        <w:rPr>
          <w:noProof/>
          <w:lang w:val="fr-FR"/>
        </w:rPr>
        <w:t>MATIERES PREMIERES</w:t>
      </w:r>
      <w:r w:rsidRPr="00402F55">
        <w:rPr>
          <w:noProof/>
          <w:lang w:val="fr-FR"/>
        </w:rPr>
        <w:sym w:font="Wingdings" w:char="F0DF"/>
      </w:r>
    </w:p>
    <w:p w:rsidR="00B81E4B" w:rsidRPr="002C7B32" w:rsidRDefault="002C7B32" w:rsidP="004D79A0">
      <w:pPr>
        <w:pStyle w:val="Titre1"/>
        <w:spacing w:before="0" w:line="240" w:lineRule="auto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Default="00232B48" w:rsidP="00641A71">
      <w:pPr>
        <w:spacing w:line="240" w:lineRule="auto"/>
        <w:rPr>
          <w:lang w:val="fr-FR" w:eastAsia="nb-NO"/>
        </w:rPr>
      </w:pPr>
      <w:proofErr w:type="spellStart"/>
      <w:r w:rsidRPr="00232B48">
        <w:rPr>
          <w:i/>
          <w:lang w:val="fr-FR" w:eastAsia="nb-NO"/>
        </w:rPr>
        <w:t>Dutch</w:t>
      </w:r>
      <w:proofErr w:type="spellEnd"/>
      <w:r w:rsidRPr="00232B48">
        <w:rPr>
          <w:i/>
          <w:lang w:val="fr-FR" w:eastAsia="nb-NO"/>
        </w:rPr>
        <w:t xml:space="preserve"> </w:t>
      </w:r>
      <w:proofErr w:type="spellStart"/>
      <w:r w:rsidRPr="00232B48">
        <w:rPr>
          <w:i/>
          <w:lang w:val="fr-FR" w:eastAsia="nb-NO"/>
        </w:rPr>
        <w:t>disease</w:t>
      </w:r>
      <w:proofErr w:type="spellEnd"/>
      <w:r w:rsidRPr="00232B48">
        <w:rPr>
          <w:i/>
          <w:lang w:val="fr-FR" w:eastAsia="nb-NO"/>
        </w:rPr>
        <w:t xml:space="preserve"> / </w:t>
      </w:r>
      <w:proofErr w:type="spellStart"/>
      <w:r w:rsidRPr="00232B48">
        <w:rPr>
          <w:i/>
          <w:lang w:val="fr-FR" w:eastAsia="nb-NO"/>
        </w:rPr>
        <w:t>Oil</w:t>
      </w:r>
      <w:proofErr w:type="spellEnd"/>
      <w:r w:rsidRPr="00232B48">
        <w:rPr>
          <w:i/>
          <w:lang w:val="fr-FR" w:eastAsia="nb-NO"/>
        </w:rPr>
        <w:t xml:space="preserve"> </w:t>
      </w:r>
      <w:proofErr w:type="spellStart"/>
      <w:r w:rsidRPr="00232B48">
        <w:rPr>
          <w:i/>
          <w:lang w:val="fr-FR" w:eastAsia="nb-NO"/>
        </w:rPr>
        <w:t>calamity</w:t>
      </w:r>
      <w:proofErr w:type="spellEnd"/>
      <w:r>
        <w:rPr>
          <w:lang w:val="fr-FR" w:eastAsia="nb-NO"/>
        </w:rPr>
        <w:t xml:space="preserve"> : maladies des rentes (gazières et pétrolières) – </w:t>
      </w:r>
      <w:r w:rsidR="002C7B32" w:rsidRPr="002C7B32">
        <w:rPr>
          <w:lang w:val="fr-FR" w:eastAsia="nb-NO"/>
        </w:rPr>
        <w:t>Nucléaire</w:t>
      </w:r>
      <w:r>
        <w:rPr>
          <w:lang w:val="fr-FR" w:eastAsia="nb-NO"/>
        </w:rPr>
        <w:t xml:space="preserve"> </w:t>
      </w:r>
      <w:r w:rsidR="002C7B32" w:rsidRPr="002C7B32">
        <w:rPr>
          <w:lang w:val="fr-FR" w:eastAsia="nb-NO"/>
        </w:rPr>
        <w:t>–</w:t>
      </w:r>
      <w:r w:rsidR="002C7B32">
        <w:rPr>
          <w:lang w:val="fr-FR" w:eastAsia="nb-NO"/>
        </w:rPr>
        <w:t xml:space="preserve"> géopolitique des tubes </w:t>
      </w:r>
      <w:r w:rsidR="004D79A0">
        <w:rPr>
          <w:lang w:val="fr-FR" w:eastAsia="nb-NO"/>
        </w:rPr>
        <w:t xml:space="preserve">– </w:t>
      </w:r>
      <w:r w:rsidR="002C7B32" w:rsidRPr="002C7B32">
        <w:rPr>
          <w:lang w:val="fr-FR" w:eastAsia="nb-NO"/>
        </w:rPr>
        <w:t xml:space="preserve"> pollution </w:t>
      </w:r>
      <w:r w:rsidR="008665E2">
        <w:rPr>
          <w:lang w:val="fr-FR" w:eastAsia="nb-NO"/>
        </w:rPr>
        <w:t>–</w:t>
      </w:r>
      <w:r w:rsidR="002C7B32" w:rsidRPr="002C7B32">
        <w:rPr>
          <w:lang w:val="fr-FR" w:eastAsia="nb-NO"/>
        </w:rPr>
        <w:t xml:space="preserve"> </w:t>
      </w:r>
      <w:r w:rsidR="00433499">
        <w:rPr>
          <w:lang w:val="fr-FR" w:eastAsia="nb-NO"/>
        </w:rPr>
        <w:t>« nœuds géostratégiques » (</w:t>
      </w:r>
      <w:proofErr w:type="spellStart"/>
      <w:r w:rsidR="00433499">
        <w:rPr>
          <w:lang w:val="fr-FR" w:eastAsia="nb-NO"/>
        </w:rPr>
        <w:t>Kattalin</w:t>
      </w:r>
      <w:proofErr w:type="spellEnd"/>
      <w:r w:rsidR="00433499">
        <w:rPr>
          <w:lang w:val="fr-FR" w:eastAsia="nb-NO"/>
        </w:rPr>
        <w:t xml:space="preserve"> Gabriel-</w:t>
      </w:r>
      <w:proofErr w:type="spellStart"/>
      <w:r w:rsidR="00433499">
        <w:rPr>
          <w:lang w:val="fr-FR" w:eastAsia="nb-NO"/>
        </w:rPr>
        <w:t>Oyhamburu</w:t>
      </w:r>
      <w:proofErr w:type="spellEnd"/>
      <w:r w:rsidR="00433499">
        <w:rPr>
          <w:lang w:val="fr-FR" w:eastAsia="nb-NO"/>
        </w:rPr>
        <w:t xml:space="preserve">) : lieux qui concentrent les ressources et cristallisent les projections de puissance et donc les rivalités. Exemples : Asie centrale, Caucase, Corne de l’Afrique, golfe de Guinée, rectangle Venezuela-Colombie-Equateur-Bolivie. </w:t>
      </w:r>
      <w:r w:rsidR="00484463">
        <w:rPr>
          <w:lang w:val="fr-FR" w:eastAsia="nb-NO"/>
        </w:rPr>
        <w:t xml:space="preserve">– Terres rares : 17 métaux découverts dans des oxydes (appelées « terres » en français) assez rares à l’époque. Ce ne sont pas des terres mais des métaux très réactifs, ils ne sont pas rares d’un point de vue géologiques mais besoins importants dans les domaines de haute-technologie. </w:t>
      </w:r>
    </w:p>
    <w:p w:rsidR="008665E2" w:rsidRDefault="008665E2" w:rsidP="004D79A0">
      <w:pPr>
        <w:pStyle w:val="Titre1"/>
        <w:spacing w:before="0" w:line="240" w:lineRule="auto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641A71" w:rsidRPr="002B32DF" w:rsidRDefault="00641A71" w:rsidP="00641A71">
      <w:pPr>
        <w:pStyle w:val="Lgende"/>
        <w:keepNext/>
        <w:rPr>
          <w:lang w:val="fr-FR"/>
        </w:rPr>
      </w:pPr>
      <w:r w:rsidRPr="002B32DF">
        <w:rPr>
          <w:lang w:val="fr-FR"/>
        </w:rPr>
        <w:t>Domination de quelques producteurs:</w:t>
      </w:r>
    </w:p>
    <w:tbl>
      <w:tblPr>
        <w:tblStyle w:val="Listecouleur-Accent5"/>
        <w:tblW w:w="0" w:type="auto"/>
        <w:tblLook w:val="0480"/>
      </w:tblPr>
      <w:tblGrid>
        <w:gridCol w:w="5906"/>
        <w:gridCol w:w="5906"/>
      </w:tblGrid>
      <w:tr w:rsidR="004A648F" w:rsidTr="004A648F">
        <w:trPr>
          <w:cnfStyle w:val="000000100000"/>
        </w:trPr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Terres rares</w:t>
            </w:r>
            <w:r w:rsidR="00641A71">
              <w:rPr>
                <w:lang w:val="fr-FR" w:eastAsia="nb-NO"/>
              </w:rPr>
              <w:t xml:space="preserve"> (scandium, yttrium et 15 lanthanides)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100000"/>
              <w:rPr>
                <w:lang w:val="fr-FR" w:eastAsia="nb-NO"/>
              </w:rPr>
            </w:pPr>
            <w:r>
              <w:rPr>
                <w:lang w:val="fr-FR" w:eastAsia="nb-NO"/>
              </w:rPr>
              <w:t>Chine : 97,3%</w:t>
            </w:r>
          </w:p>
        </w:tc>
      </w:tr>
      <w:tr w:rsidR="004A648F" w:rsidTr="004A648F"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Platine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000000"/>
              <w:rPr>
                <w:lang w:val="fr-FR" w:eastAsia="nb-NO"/>
              </w:rPr>
            </w:pPr>
            <w:r>
              <w:rPr>
                <w:lang w:val="fr-FR" w:eastAsia="nb-NO"/>
              </w:rPr>
              <w:t>Afrique du Sud : 61% - Russie : 26,1%</w:t>
            </w:r>
          </w:p>
        </w:tc>
      </w:tr>
      <w:tr w:rsidR="004A648F" w:rsidTr="004A648F">
        <w:trPr>
          <w:cnfStyle w:val="000000100000"/>
        </w:trPr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Lithium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100000"/>
              <w:rPr>
                <w:lang w:val="fr-FR" w:eastAsia="nb-NO"/>
              </w:rPr>
            </w:pPr>
            <w:r>
              <w:rPr>
                <w:lang w:val="fr-FR" w:eastAsia="nb-NO"/>
              </w:rPr>
              <w:t>Chili : 35% - Australie 34% - Chine : 18%</w:t>
            </w:r>
          </w:p>
        </w:tc>
      </w:tr>
      <w:tr w:rsidR="004A648F" w:rsidTr="004A648F"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Huile de palme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000000"/>
              <w:rPr>
                <w:lang w:val="fr-FR" w:eastAsia="nb-NO"/>
              </w:rPr>
            </w:pPr>
            <w:r>
              <w:rPr>
                <w:lang w:val="fr-FR" w:eastAsia="nb-NO"/>
              </w:rPr>
              <w:t>Indonésie : 45,6% - Malaisie : 39%</w:t>
            </w:r>
          </w:p>
        </w:tc>
      </w:tr>
      <w:tr w:rsidR="004A648F" w:rsidTr="004A648F">
        <w:trPr>
          <w:cnfStyle w:val="000000100000"/>
        </w:trPr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Cobalt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100000"/>
              <w:rPr>
                <w:lang w:val="fr-FR" w:eastAsia="nb-NO"/>
              </w:rPr>
            </w:pPr>
            <w:r>
              <w:rPr>
                <w:lang w:val="fr-FR" w:eastAsia="nb-NO"/>
              </w:rPr>
              <w:t>RDC </w:t>
            </w:r>
            <w:r w:rsidR="00484463">
              <w:rPr>
                <w:lang w:val="fr-FR" w:eastAsia="nb-NO"/>
              </w:rPr>
              <w:t xml:space="preserve">(Kivu) </w:t>
            </w:r>
            <w:r>
              <w:rPr>
                <w:lang w:val="fr-FR" w:eastAsia="nb-NO"/>
              </w:rPr>
              <w:t>: 51,1% - Zambie : 12,5%</w:t>
            </w:r>
          </w:p>
        </w:tc>
      </w:tr>
      <w:tr w:rsidR="004A648F" w:rsidTr="004A648F"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Uranium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000000"/>
              <w:rPr>
                <w:lang w:val="fr-FR" w:eastAsia="nb-NO"/>
              </w:rPr>
            </w:pPr>
            <w:r>
              <w:rPr>
                <w:lang w:val="fr-FR" w:eastAsia="nb-NO"/>
              </w:rPr>
              <w:t>Kazakhstan : 33,2% - Canada : 18,2% - Australie : 11%</w:t>
            </w:r>
          </w:p>
        </w:tc>
      </w:tr>
      <w:tr w:rsidR="004A648F" w:rsidTr="004A648F">
        <w:trPr>
          <w:cnfStyle w:val="000000100000"/>
        </w:trPr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Hévéa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100000"/>
              <w:rPr>
                <w:lang w:val="fr-FR" w:eastAsia="nb-NO"/>
              </w:rPr>
            </w:pPr>
            <w:r>
              <w:rPr>
                <w:lang w:val="fr-FR" w:eastAsia="nb-NO"/>
              </w:rPr>
              <w:t>Thaïlande : 30,2% - Indonésie : 27,3%</w:t>
            </w:r>
          </w:p>
        </w:tc>
      </w:tr>
      <w:tr w:rsidR="004A648F" w:rsidTr="004A648F">
        <w:tc>
          <w:tcPr>
            <w:cnfStyle w:val="001000000000"/>
            <w:tcW w:w="5906" w:type="dxa"/>
          </w:tcPr>
          <w:p w:rsidR="004A648F" w:rsidRDefault="004A648F" w:rsidP="00641A71">
            <w:pPr>
              <w:rPr>
                <w:lang w:val="fr-FR" w:eastAsia="nb-NO"/>
              </w:rPr>
            </w:pPr>
            <w:r>
              <w:rPr>
                <w:lang w:val="fr-FR" w:eastAsia="nb-NO"/>
              </w:rPr>
              <w:t>Argent</w:t>
            </w:r>
          </w:p>
        </w:tc>
        <w:tc>
          <w:tcPr>
            <w:tcW w:w="5906" w:type="dxa"/>
          </w:tcPr>
          <w:p w:rsidR="004A648F" w:rsidRDefault="004A648F" w:rsidP="00641A71">
            <w:pPr>
              <w:cnfStyle w:val="000000000000"/>
              <w:rPr>
                <w:lang w:val="fr-FR" w:eastAsia="nb-NO"/>
              </w:rPr>
            </w:pPr>
            <w:r>
              <w:rPr>
                <w:lang w:val="fr-FR" w:eastAsia="nb-NO"/>
              </w:rPr>
              <w:t>Pérou : 18% - Mexique : 15,8% - Chine : 13,5%</w:t>
            </w:r>
          </w:p>
        </w:tc>
      </w:tr>
    </w:tbl>
    <w:p w:rsidR="002B32DF" w:rsidRDefault="002B32DF" w:rsidP="002B32DF">
      <w:pPr>
        <w:spacing w:before="240"/>
        <w:rPr>
          <w:noProof/>
          <w:lang w:val="fr-FR"/>
        </w:rPr>
      </w:pPr>
      <w:r w:rsidRPr="00F4728A">
        <w:rPr>
          <w:b/>
          <w:noProof/>
          <w:lang w:val="fr-FR"/>
        </w:rPr>
        <w:t>Manne pétrolière</w:t>
      </w:r>
      <w:r>
        <w:rPr>
          <w:noProof/>
          <w:lang w:val="fr-FR"/>
        </w:rPr>
        <w:t> : 6Mds$ en1970, 220Mds$ en 1980, 70Mds$ en 1998. Rente difficile à gérer, placée dans les banques du Nord.</w:t>
      </w:r>
      <w:r w:rsidR="0009329A">
        <w:rPr>
          <w:noProof/>
          <w:lang w:val="fr-FR"/>
        </w:rPr>
        <w:t xml:space="preserve"> Croissance au </w:t>
      </w:r>
      <w:r w:rsidR="0009329A" w:rsidRPr="00F4728A">
        <w:rPr>
          <w:b/>
          <w:noProof/>
          <w:color w:val="95441D" w:themeColor="text2" w:themeTint="BF"/>
          <w:lang w:val="fr-FR"/>
        </w:rPr>
        <w:t>Qatar</w:t>
      </w:r>
      <w:r w:rsidR="0009329A">
        <w:rPr>
          <w:noProof/>
          <w:lang w:val="fr-FR"/>
        </w:rPr>
        <w:t xml:space="preserve"> : 42%/an entre 1998 et 2008 (9% en Arabie Saoudite). Pétrole : 28% PIB des Etats du Golfe. </w:t>
      </w:r>
    </w:p>
    <w:p w:rsidR="0009329A" w:rsidRDefault="0009329A" w:rsidP="002B32DF">
      <w:pPr>
        <w:spacing w:before="240"/>
        <w:rPr>
          <w:noProof/>
          <w:lang w:val="fr-FR"/>
        </w:rPr>
      </w:pPr>
      <w:r w:rsidRPr="00F4728A">
        <w:rPr>
          <w:b/>
          <w:noProof/>
          <w:lang w:val="fr-FR"/>
        </w:rPr>
        <w:t>Fonds souverains</w:t>
      </w:r>
      <w:r>
        <w:rPr>
          <w:noProof/>
          <w:lang w:val="fr-FR"/>
        </w:rPr>
        <w:t xml:space="preserve"> : ADIA (Abu Dhabi Investment Authority) : 870Mds$ ! </w:t>
      </w:r>
      <w:r w:rsidR="009C319F">
        <w:rPr>
          <w:noProof/>
          <w:lang w:val="fr-FR"/>
        </w:rPr>
        <w:t xml:space="preserve">Pétrole : assure 90% des revenus libyens. </w:t>
      </w:r>
      <w:r w:rsidR="001A26B8">
        <w:rPr>
          <w:noProof/>
          <w:lang w:val="fr-FR"/>
        </w:rPr>
        <w:t>Mais investir le secteur est de plus en plus cher. Entre 2000 et 2011, le coût total des investissements en gaz et pétrole s’élève à 2400Mds$</w:t>
      </w:r>
    </w:p>
    <w:p w:rsidR="002C7B32" w:rsidRPr="002C7B32" w:rsidRDefault="002C7B32" w:rsidP="004D79A0">
      <w:pPr>
        <w:pStyle w:val="Titre1"/>
        <w:spacing w:before="0" w:line="240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2C7B32" w:rsidRDefault="002C7B32" w:rsidP="00641A71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Contrats imposés par les entreprises des USA en Inde. </w:t>
      </w:r>
      <w:proofErr w:type="spellStart"/>
      <w:r w:rsidR="004D79A0">
        <w:rPr>
          <w:lang w:val="fr-FR" w:eastAsia="nb-NO"/>
        </w:rPr>
        <w:t>Keystone</w:t>
      </w:r>
      <w:proofErr w:type="spellEnd"/>
      <w:r w:rsidR="004D79A0">
        <w:rPr>
          <w:lang w:val="fr-FR" w:eastAsia="nb-NO"/>
        </w:rPr>
        <w:t xml:space="preserve"> XL.</w:t>
      </w:r>
    </w:p>
    <w:p w:rsidR="00433499" w:rsidRDefault="00433499" w:rsidP="00641A71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Guerres liées aux ressources fossiles et minières : Pétrole (Colombie de 1964 à aujourd’hui, Irak-Koweït 1990-1991, Biafra, Angola  de 1975 à 2002, Soudan en 2011-2012), Diamants (Sierra Leone, Libera entre 1989 et 1996, RDC, Angola), Saphir et Rubis (Cambodge), Bois (Birmanie), Emeraude </w:t>
      </w:r>
      <w:proofErr w:type="spellStart"/>
      <w:r>
        <w:rPr>
          <w:lang w:val="fr-FR" w:eastAsia="nb-NO"/>
        </w:rPr>
        <w:t>Lapis-Lazuli</w:t>
      </w:r>
      <w:proofErr w:type="spellEnd"/>
      <w:r>
        <w:rPr>
          <w:lang w:val="fr-FR" w:eastAsia="nb-NO"/>
        </w:rPr>
        <w:t xml:space="preserve"> (Afghanistan du temps de Massoud). </w:t>
      </w:r>
    </w:p>
    <w:p w:rsidR="00857E4A" w:rsidRDefault="00433499" w:rsidP="00641A71">
      <w:pPr>
        <w:spacing w:line="240" w:lineRule="auto"/>
        <w:rPr>
          <w:lang w:val="fr-FR" w:eastAsia="nb-NO"/>
        </w:rPr>
      </w:pPr>
      <w:r w:rsidRPr="00F4728A">
        <w:rPr>
          <w:b/>
          <w:lang w:val="fr-FR" w:eastAsia="nb-NO"/>
        </w:rPr>
        <w:t>Intervention des gouvernements</w:t>
      </w:r>
      <w:r>
        <w:rPr>
          <w:lang w:val="fr-FR" w:eastAsia="nb-NO"/>
        </w:rPr>
        <w:t xml:space="preserve"> : France au Niger (uranium exploité par </w:t>
      </w:r>
      <w:proofErr w:type="spellStart"/>
      <w:r>
        <w:rPr>
          <w:lang w:val="fr-FR" w:eastAsia="nb-NO"/>
        </w:rPr>
        <w:t>Areva</w:t>
      </w:r>
      <w:proofErr w:type="spellEnd"/>
      <w:r>
        <w:rPr>
          <w:lang w:val="fr-FR" w:eastAsia="nb-NO"/>
        </w:rPr>
        <w:t xml:space="preserve">), USA et leurs bases au Moyen-Orient, Chine au Soudan pour protéger ses oléoducs mais aussi des gouvernements qui oppriment toute opposition pour contrôler leurs régions riches en ressources (Kazakhstan, Zimbabwe). </w:t>
      </w:r>
    </w:p>
    <w:p w:rsidR="00433499" w:rsidRDefault="00433499" w:rsidP="00641A71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Guerre civile du </w:t>
      </w:r>
      <w:r w:rsidRPr="00F4728A">
        <w:rPr>
          <w:lang w:val="fr-FR" w:eastAsia="nb-NO"/>
        </w:rPr>
        <w:t xml:space="preserve">Sierra Leone </w:t>
      </w:r>
      <w:r>
        <w:rPr>
          <w:lang w:val="fr-FR" w:eastAsia="nb-NO"/>
        </w:rPr>
        <w:t>entre 1991 et 2002 : diamants extraits par les rebelles du Front Po</w:t>
      </w:r>
      <w:r w:rsidR="00825D1F">
        <w:rPr>
          <w:lang w:val="fr-FR" w:eastAsia="nb-NO"/>
        </w:rPr>
        <w:t xml:space="preserve">pulaire Uni (RUF) vendus au Libéria à un prix très bas </w:t>
      </w:r>
      <w:r>
        <w:rPr>
          <w:lang w:val="fr-FR" w:eastAsia="nb-NO"/>
        </w:rPr>
        <w:t xml:space="preserve">pour </w:t>
      </w:r>
      <w:r w:rsidR="00825D1F">
        <w:rPr>
          <w:lang w:val="fr-FR" w:eastAsia="nb-NO"/>
        </w:rPr>
        <w:t>se procurer armes et munitions. En Angola aussi : le gouvernement avait le pétrole, les rebelles, les diamants.</w:t>
      </w:r>
    </w:p>
    <w:p w:rsidR="00857E4A" w:rsidRDefault="00857E4A" w:rsidP="00641A71">
      <w:pPr>
        <w:spacing w:line="240" w:lineRule="auto"/>
        <w:rPr>
          <w:lang w:val="fr-FR" w:eastAsia="nb-NO"/>
        </w:rPr>
      </w:pPr>
      <w:r w:rsidRPr="00F4728A">
        <w:rPr>
          <w:b/>
          <w:lang w:val="fr-FR" w:eastAsia="nb-NO"/>
        </w:rPr>
        <w:t>UE :</w:t>
      </w:r>
      <w:r>
        <w:rPr>
          <w:lang w:val="fr-FR" w:eastAsia="nb-NO"/>
        </w:rPr>
        <w:t xml:space="preserve"> en 2008, initiative « matières premières », a identifié 14 produits « critiques » dont l’importance économique est forte et le risque de défaut d’approvisionnement élevé. Il y a (notamment) : le cobalt, le graphite, le magnésium, le platine, les terres rares.</w:t>
      </w:r>
    </w:p>
    <w:p w:rsidR="00FE30E8" w:rsidRDefault="00FE30E8" w:rsidP="00641A71">
      <w:pPr>
        <w:spacing w:line="240" w:lineRule="auto"/>
        <w:rPr>
          <w:lang w:val="fr-FR" w:eastAsia="nb-NO"/>
        </w:rPr>
      </w:pPr>
      <w:r w:rsidRPr="00F4728A">
        <w:rPr>
          <w:b/>
          <w:lang w:val="fr-FR" w:eastAsia="nb-NO"/>
        </w:rPr>
        <w:t>Solaire :</w:t>
      </w:r>
      <w:r>
        <w:rPr>
          <w:lang w:val="fr-FR" w:eastAsia="nb-NO"/>
        </w:rPr>
        <w:t xml:space="preserve"> signature d’un contrat à 48€ le </w:t>
      </w:r>
      <w:proofErr w:type="spellStart"/>
      <w:r>
        <w:rPr>
          <w:lang w:val="fr-FR" w:eastAsia="nb-NO"/>
        </w:rPr>
        <w:t>MWh</w:t>
      </w:r>
      <w:proofErr w:type="spellEnd"/>
      <w:r>
        <w:rPr>
          <w:lang w:val="fr-FR" w:eastAsia="nb-NO"/>
        </w:rPr>
        <w:t xml:space="preserve"> par </w:t>
      </w:r>
      <w:proofErr w:type="spellStart"/>
      <w:r>
        <w:rPr>
          <w:lang w:val="fr-FR" w:eastAsia="nb-NO"/>
        </w:rPr>
        <w:t>Acwa</w:t>
      </w:r>
      <w:proofErr w:type="spellEnd"/>
      <w:r>
        <w:rPr>
          <w:lang w:val="fr-FR" w:eastAsia="nb-NO"/>
        </w:rPr>
        <w:t xml:space="preserve"> Power (Arabie Saoudite), prix correspondant au marché (40€ le </w:t>
      </w:r>
      <w:proofErr w:type="spellStart"/>
      <w:r>
        <w:rPr>
          <w:lang w:val="fr-FR" w:eastAsia="nb-NO"/>
        </w:rPr>
        <w:t>MWh</w:t>
      </w:r>
      <w:proofErr w:type="spellEnd"/>
      <w:r>
        <w:rPr>
          <w:lang w:val="fr-FR" w:eastAsia="nb-NO"/>
        </w:rPr>
        <w:t xml:space="preserve"> en France avec le nucléaire). C’est moins cher car : hausse des rendements (44% atteint par SOITEC, cocorico !), prix des modules solaires divisés par 6, et coûts d</w:t>
      </w:r>
      <w:r w:rsidR="00F4728A">
        <w:rPr>
          <w:lang w:val="fr-FR" w:eastAsia="nb-NO"/>
        </w:rPr>
        <w:t>e financement réduits de moitié.</w:t>
      </w:r>
    </w:p>
    <w:p w:rsidR="00FE30E8" w:rsidRDefault="00FE30E8" w:rsidP="00641A71">
      <w:pPr>
        <w:spacing w:line="240" w:lineRule="auto"/>
        <w:rPr>
          <w:lang w:val="fr-FR" w:eastAsia="nb-NO"/>
        </w:rPr>
      </w:pPr>
      <w:r w:rsidRPr="00F4728A">
        <w:rPr>
          <w:b/>
          <w:lang w:val="fr-FR" w:eastAsia="nb-NO"/>
        </w:rPr>
        <w:t>Pétrodollars</w:t>
      </w:r>
      <w:r>
        <w:rPr>
          <w:lang w:val="fr-FR" w:eastAsia="nb-NO"/>
        </w:rPr>
        <w:t xml:space="preserve"> : remplacé par des </w:t>
      </w:r>
      <w:proofErr w:type="spellStart"/>
      <w:r>
        <w:rPr>
          <w:lang w:val="fr-FR" w:eastAsia="nb-NO"/>
        </w:rPr>
        <w:t>pétroyuans</w:t>
      </w:r>
      <w:proofErr w:type="spellEnd"/>
      <w:r>
        <w:rPr>
          <w:lang w:val="fr-FR" w:eastAsia="nb-NO"/>
        </w:rPr>
        <w:t xml:space="preserve">, collaboration accrue entre Russie et Chine, échanges en yuans… </w:t>
      </w:r>
    </w:p>
    <w:p w:rsidR="0043347E" w:rsidRDefault="0043347E" w:rsidP="00641A71">
      <w:pPr>
        <w:spacing w:line="240" w:lineRule="auto"/>
        <w:rPr>
          <w:lang w:val="fr-FR" w:eastAsia="nb-NO"/>
        </w:rPr>
      </w:pPr>
      <w:r>
        <w:rPr>
          <w:lang w:val="fr-FR" w:eastAsia="nb-NO"/>
        </w:rPr>
        <w:t xml:space="preserve">2006 : </w:t>
      </w:r>
      <w:proofErr w:type="spellStart"/>
      <w:r w:rsidRPr="00F4728A">
        <w:rPr>
          <w:b/>
          <w:lang w:val="fr-FR" w:eastAsia="nb-NO"/>
        </w:rPr>
        <w:t>Evo</w:t>
      </w:r>
      <w:proofErr w:type="spellEnd"/>
      <w:r w:rsidRPr="00F4728A">
        <w:rPr>
          <w:b/>
          <w:lang w:val="fr-FR" w:eastAsia="nb-NO"/>
        </w:rPr>
        <w:t xml:space="preserve"> Morales</w:t>
      </w:r>
      <w:r>
        <w:rPr>
          <w:lang w:val="fr-FR" w:eastAsia="nb-NO"/>
        </w:rPr>
        <w:t xml:space="preserve"> (Bolivie) fait occuper les locaux de l’entreprise par l’armée  et annonce sa nationalisation. La compagnie paie 24% des impôts sur les sociétés et fait 18% du PIB. Après d’âpres négociations, le gouvernement ne concède que 18% des profits.</w:t>
      </w:r>
    </w:p>
    <w:p w:rsidR="000F1B73" w:rsidRPr="002C7B32" w:rsidRDefault="000F1B73" w:rsidP="00641A71">
      <w:pPr>
        <w:spacing w:line="240" w:lineRule="auto"/>
        <w:rPr>
          <w:lang w:val="fr-FR" w:eastAsia="nb-NO"/>
        </w:rPr>
      </w:pPr>
      <w:r w:rsidRPr="00F4728A">
        <w:rPr>
          <w:b/>
          <w:lang w:val="fr-FR" w:eastAsia="nb-NO"/>
        </w:rPr>
        <w:t>Mongolie</w:t>
      </w:r>
      <w:r>
        <w:rPr>
          <w:lang w:val="fr-FR" w:eastAsia="nb-NO"/>
        </w:rPr>
        <w:t> : 500 000 ruraux raccordés à l’énergie solaire </w:t>
      </w:r>
      <w:r w:rsidR="00F4728A">
        <w:rPr>
          <w:lang w:val="fr-FR" w:eastAsia="nb-NO"/>
        </w:rPr>
        <w:t xml:space="preserve">grâce à la Banque Mondiale </w:t>
      </w:r>
      <w:r>
        <w:rPr>
          <w:lang w:val="fr-FR" w:eastAsia="nb-NO"/>
        </w:rPr>
        <w:t xml:space="preserve">!! </w:t>
      </w:r>
    </w:p>
    <w:p w:rsidR="006D6342" w:rsidRDefault="002C7B32" w:rsidP="00641A71">
      <w:pPr>
        <w:pStyle w:val="Titre1"/>
        <w:spacing w:line="240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lastRenderedPageBreak/>
        <w:t xml:space="preserve">REFERENCES : </w:t>
      </w:r>
    </w:p>
    <w:p w:rsidR="002C7B32" w:rsidRPr="004D79A0" w:rsidRDefault="004D79A0" w:rsidP="002C7B32">
      <w:pPr>
        <w:rPr>
          <w:lang w:val="fr-FR"/>
        </w:rPr>
      </w:pPr>
      <w:r w:rsidRPr="004D79A0">
        <w:rPr>
          <w:b/>
          <w:i/>
          <w:u w:val="single"/>
          <w:lang w:val="fr-FR"/>
        </w:rPr>
        <w:t>Géographie amoureuse du monde, Sylvie Brunel</w:t>
      </w:r>
      <w:r w:rsidRPr="004D79A0">
        <w:rPr>
          <w:lang w:val="fr-FR"/>
        </w:rPr>
        <w:t xml:space="preserve"> : </w:t>
      </w:r>
      <w:r>
        <w:rPr>
          <w:lang w:val="fr-FR"/>
        </w:rPr>
        <w:t>4 rentes africaines. Rente noire (12% du pétrole mondial). Rente bleue (eau des grands fleuves et des grands lacs), rente jaune (solaire donc photovoltaïque), rente verte (10% des terres utilisables mises en valeur, 60% des réserves de terres arables).</w:t>
      </w:r>
    </w:p>
    <w:sectPr w:rsidR="002C7B32" w:rsidRPr="004D79A0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9329A"/>
    <w:rsid w:val="00096042"/>
    <w:rsid w:val="000E3387"/>
    <w:rsid w:val="000F0D9B"/>
    <w:rsid w:val="000F1B73"/>
    <w:rsid w:val="0015371C"/>
    <w:rsid w:val="001566BD"/>
    <w:rsid w:val="00161623"/>
    <w:rsid w:val="00190A15"/>
    <w:rsid w:val="001A26B8"/>
    <w:rsid w:val="001D57FC"/>
    <w:rsid w:val="001D6E86"/>
    <w:rsid w:val="00232B48"/>
    <w:rsid w:val="00263A15"/>
    <w:rsid w:val="002B32DF"/>
    <w:rsid w:val="002C7B32"/>
    <w:rsid w:val="002E15D1"/>
    <w:rsid w:val="002F61C0"/>
    <w:rsid w:val="0035199D"/>
    <w:rsid w:val="003D0E38"/>
    <w:rsid w:val="003E394A"/>
    <w:rsid w:val="00402F55"/>
    <w:rsid w:val="0043347E"/>
    <w:rsid w:val="00433499"/>
    <w:rsid w:val="00470696"/>
    <w:rsid w:val="00484463"/>
    <w:rsid w:val="00496709"/>
    <w:rsid w:val="004A648F"/>
    <w:rsid w:val="004B1DB4"/>
    <w:rsid w:val="004B346D"/>
    <w:rsid w:val="004D0689"/>
    <w:rsid w:val="004D79A0"/>
    <w:rsid w:val="005E5F31"/>
    <w:rsid w:val="006056A8"/>
    <w:rsid w:val="00641A71"/>
    <w:rsid w:val="00652696"/>
    <w:rsid w:val="006740A2"/>
    <w:rsid w:val="006A531C"/>
    <w:rsid w:val="006C4C60"/>
    <w:rsid w:val="006D6342"/>
    <w:rsid w:val="0073088F"/>
    <w:rsid w:val="007A2E16"/>
    <w:rsid w:val="007D7565"/>
    <w:rsid w:val="008205E6"/>
    <w:rsid w:val="00825D1F"/>
    <w:rsid w:val="008332D2"/>
    <w:rsid w:val="00857E4A"/>
    <w:rsid w:val="0086045E"/>
    <w:rsid w:val="008640F5"/>
    <w:rsid w:val="008665E2"/>
    <w:rsid w:val="009C319F"/>
    <w:rsid w:val="00A158CF"/>
    <w:rsid w:val="00A2024B"/>
    <w:rsid w:val="00A364D8"/>
    <w:rsid w:val="00A442D9"/>
    <w:rsid w:val="00A7322E"/>
    <w:rsid w:val="00A877BB"/>
    <w:rsid w:val="00AC29BC"/>
    <w:rsid w:val="00AE672B"/>
    <w:rsid w:val="00B17F69"/>
    <w:rsid w:val="00B65C9D"/>
    <w:rsid w:val="00B67651"/>
    <w:rsid w:val="00B75FE6"/>
    <w:rsid w:val="00B81E4B"/>
    <w:rsid w:val="00B95C52"/>
    <w:rsid w:val="00C35681"/>
    <w:rsid w:val="00C97460"/>
    <w:rsid w:val="00CA3494"/>
    <w:rsid w:val="00D03209"/>
    <w:rsid w:val="00E22FF0"/>
    <w:rsid w:val="00E4387F"/>
    <w:rsid w:val="00E44AD9"/>
    <w:rsid w:val="00E54D97"/>
    <w:rsid w:val="00F112FE"/>
    <w:rsid w:val="00F409D7"/>
    <w:rsid w:val="00F4728A"/>
    <w:rsid w:val="00F86008"/>
    <w:rsid w:val="00F90CB2"/>
    <w:rsid w:val="00FE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  <w:style w:type="table" w:styleId="Ombrageclair">
    <w:name w:val="Light Shading"/>
    <w:basedOn w:val="TableauNormal"/>
    <w:uiPriority w:val="60"/>
    <w:rsid w:val="004A64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4A648F"/>
    <w:pPr>
      <w:spacing w:after="0" w:line="240" w:lineRule="auto"/>
    </w:pPr>
    <w:rPr>
      <w:color w:val="2E6279" w:themeColor="accent4" w:themeShade="BF"/>
    </w:rPr>
    <w:tblPr>
      <w:tblStyleRowBandSize w:val="1"/>
      <w:tblStyleColBandSize w:val="1"/>
      <w:tblInd w:w="0" w:type="dxa"/>
      <w:tblBorders>
        <w:top w:val="single" w:sz="8" w:space="0" w:color="3E84A3" w:themeColor="accent4"/>
        <w:bottom w:val="single" w:sz="8" w:space="0" w:color="3E84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A3" w:themeColor="accent4"/>
          <w:left w:val="nil"/>
          <w:bottom w:val="single" w:sz="8" w:space="0" w:color="3E84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4A3" w:themeColor="accent4"/>
          <w:left w:val="nil"/>
          <w:bottom w:val="single" w:sz="8" w:space="0" w:color="3E84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1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1EB" w:themeFill="accent4" w:themeFillTint="3F"/>
      </w:tcPr>
    </w:tblStylePr>
  </w:style>
  <w:style w:type="table" w:styleId="Listeclaire-Accent5">
    <w:name w:val="Light List Accent 5"/>
    <w:basedOn w:val="TableauNormal"/>
    <w:uiPriority w:val="61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BA3D" w:themeColor="accent5"/>
        <w:left w:val="single" w:sz="8" w:space="0" w:color="EDBA3D" w:themeColor="accent5"/>
        <w:bottom w:val="single" w:sz="8" w:space="0" w:color="EDBA3D" w:themeColor="accent5"/>
        <w:right w:val="single" w:sz="8" w:space="0" w:color="EDBA3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BA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A3D" w:themeColor="accent5"/>
          <w:left w:val="single" w:sz="8" w:space="0" w:color="EDBA3D" w:themeColor="accent5"/>
          <w:bottom w:val="single" w:sz="8" w:space="0" w:color="EDBA3D" w:themeColor="accent5"/>
          <w:right w:val="single" w:sz="8" w:space="0" w:color="EDBA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BA3D" w:themeColor="accent5"/>
          <w:left w:val="single" w:sz="8" w:space="0" w:color="EDBA3D" w:themeColor="accent5"/>
          <w:bottom w:val="single" w:sz="8" w:space="0" w:color="EDBA3D" w:themeColor="accent5"/>
          <w:right w:val="single" w:sz="8" w:space="0" w:color="EDBA3D" w:themeColor="accent5"/>
        </w:tcBorders>
      </w:tcPr>
    </w:tblStylePr>
    <w:tblStylePr w:type="band1Horz">
      <w:tblPr/>
      <w:tcPr>
        <w:tcBorders>
          <w:top w:val="single" w:sz="8" w:space="0" w:color="EDBA3D" w:themeColor="accent5"/>
          <w:left w:val="single" w:sz="8" w:space="0" w:color="EDBA3D" w:themeColor="accent5"/>
          <w:bottom w:val="single" w:sz="8" w:space="0" w:color="EDBA3D" w:themeColor="accent5"/>
          <w:right w:val="single" w:sz="8" w:space="0" w:color="EDBA3D" w:themeColor="accent5"/>
        </w:tcBorders>
      </w:tcPr>
    </w:tblStylePr>
  </w:style>
  <w:style w:type="table" w:styleId="Tramemoyenne1">
    <w:name w:val="Medium Shading 1"/>
    <w:basedOn w:val="TableauNormal"/>
    <w:uiPriority w:val="63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CB6D" w:themeColor="accent5" w:themeTint="BF"/>
        <w:left w:val="single" w:sz="8" w:space="0" w:color="F1CB6D" w:themeColor="accent5" w:themeTint="BF"/>
        <w:bottom w:val="single" w:sz="8" w:space="0" w:color="F1CB6D" w:themeColor="accent5" w:themeTint="BF"/>
        <w:right w:val="single" w:sz="8" w:space="0" w:color="F1CB6D" w:themeColor="accent5" w:themeTint="BF"/>
        <w:insideH w:val="single" w:sz="8" w:space="0" w:color="F1CB6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CB6D" w:themeColor="accent5" w:themeTint="BF"/>
          <w:left w:val="single" w:sz="8" w:space="0" w:color="F1CB6D" w:themeColor="accent5" w:themeTint="BF"/>
          <w:bottom w:val="single" w:sz="8" w:space="0" w:color="F1CB6D" w:themeColor="accent5" w:themeTint="BF"/>
          <w:right w:val="single" w:sz="8" w:space="0" w:color="F1CB6D" w:themeColor="accent5" w:themeTint="BF"/>
          <w:insideH w:val="nil"/>
          <w:insideV w:val="nil"/>
        </w:tcBorders>
        <w:shd w:val="clear" w:color="auto" w:fill="EDBA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CB6D" w:themeColor="accent5" w:themeTint="BF"/>
          <w:left w:val="single" w:sz="8" w:space="0" w:color="F1CB6D" w:themeColor="accent5" w:themeTint="BF"/>
          <w:bottom w:val="single" w:sz="8" w:space="0" w:color="F1CB6D" w:themeColor="accent5" w:themeTint="BF"/>
          <w:right w:val="single" w:sz="8" w:space="0" w:color="F1CB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D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D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">
    <w:name w:val="Medium List 2"/>
    <w:basedOn w:val="TableauNormal"/>
    <w:uiPriority w:val="66"/>
    <w:rsid w:val="004A6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CB987" w:themeColor="accent3" w:themeTint="BF"/>
        <w:left w:val="single" w:sz="8" w:space="0" w:color="6CB987" w:themeColor="accent3" w:themeTint="BF"/>
        <w:bottom w:val="single" w:sz="8" w:space="0" w:color="6CB987" w:themeColor="accent3" w:themeTint="BF"/>
        <w:right w:val="single" w:sz="8" w:space="0" w:color="6CB987" w:themeColor="accent3" w:themeTint="BF"/>
        <w:insideH w:val="single" w:sz="8" w:space="0" w:color="6CB987" w:themeColor="accent3" w:themeTint="BF"/>
        <w:insideV w:val="single" w:sz="8" w:space="0" w:color="6CB98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8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B9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0AF" w:themeFill="accent3" w:themeFillTint="7F"/>
      </w:tcPr>
    </w:tblStylePr>
    <w:tblStylePr w:type="band1Horz">
      <w:tblPr/>
      <w:tcPr>
        <w:shd w:val="clear" w:color="auto" w:fill="9DD0AF" w:themeFill="accent3" w:themeFillTint="7F"/>
      </w:tcPr>
    </w:tblStylePr>
  </w:style>
  <w:style w:type="table" w:styleId="Grillemoyenne1">
    <w:name w:val="Medium Grid 1"/>
    <w:basedOn w:val="TableauNormal"/>
    <w:uiPriority w:val="67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emoyenne2-Accent6">
    <w:name w:val="Medium List 2 Accent 6"/>
    <w:basedOn w:val="TableauNormal"/>
    <w:uiPriority w:val="66"/>
    <w:rsid w:val="004A6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84869" w:themeColor="accent6"/>
        <w:left w:val="single" w:sz="8" w:space="0" w:color="784869" w:themeColor="accent6"/>
        <w:bottom w:val="single" w:sz="8" w:space="0" w:color="784869" w:themeColor="accent6"/>
        <w:right w:val="single" w:sz="8" w:space="0" w:color="78486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48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486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486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486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CB6D" w:themeColor="accent5" w:themeTint="BF"/>
        <w:left w:val="single" w:sz="8" w:space="0" w:color="F1CB6D" w:themeColor="accent5" w:themeTint="BF"/>
        <w:bottom w:val="single" w:sz="8" w:space="0" w:color="F1CB6D" w:themeColor="accent5" w:themeTint="BF"/>
        <w:right w:val="single" w:sz="8" w:space="0" w:color="F1CB6D" w:themeColor="accent5" w:themeTint="BF"/>
        <w:insideH w:val="single" w:sz="8" w:space="0" w:color="F1CB6D" w:themeColor="accent5" w:themeTint="BF"/>
        <w:insideV w:val="single" w:sz="8" w:space="0" w:color="F1CB6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CB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C9E" w:themeFill="accent5" w:themeFillTint="7F"/>
      </w:tcPr>
    </w:tblStylePr>
    <w:tblStylePr w:type="band1Horz">
      <w:tblPr/>
      <w:tcPr>
        <w:shd w:val="clear" w:color="auto" w:fill="F6DC9E" w:themeFill="accent5" w:themeFillTint="7F"/>
      </w:tcPr>
    </w:tblStylePr>
  </w:style>
  <w:style w:type="table" w:styleId="Grillemoyenne3-Accent5">
    <w:name w:val="Medium Grid 3 Accent 5"/>
    <w:basedOn w:val="TableauNormal"/>
    <w:uiPriority w:val="69"/>
    <w:rsid w:val="004A6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BA3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BA3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BA3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BA3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C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C9E" w:themeFill="accent5" w:themeFillTint="7F"/>
      </w:tcPr>
    </w:tblStylePr>
  </w:style>
  <w:style w:type="table" w:styleId="Tramecouleur-Accent5">
    <w:name w:val="Colorful Shading Accent 5"/>
    <w:basedOn w:val="TableauNormal"/>
    <w:uiPriority w:val="71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84869" w:themeColor="accent6"/>
        <w:left w:val="single" w:sz="4" w:space="0" w:color="EDBA3D" w:themeColor="accent5"/>
        <w:bottom w:val="single" w:sz="4" w:space="0" w:color="EDBA3D" w:themeColor="accent5"/>
        <w:right w:val="single" w:sz="4" w:space="0" w:color="EDBA3D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8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486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78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780F" w:themeColor="accent5" w:themeShade="99"/>
          <w:insideV w:val="nil"/>
        </w:tcBorders>
        <w:shd w:val="clear" w:color="auto" w:fill="A378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780F" w:themeFill="accent5" w:themeFillShade="99"/>
      </w:tcPr>
    </w:tblStylePr>
    <w:tblStylePr w:type="band1Vert">
      <w:tblPr/>
      <w:tcPr>
        <w:shd w:val="clear" w:color="auto" w:fill="F7E3B1" w:themeFill="accent5" w:themeFillTint="66"/>
      </w:tcPr>
    </w:tblStylePr>
    <w:tblStylePr w:type="band1Horz">
      <w:tblPr/>
      <w:tcPr>
        <w:shd w:val="clear" w:color="auto" w:fill="F6DC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41A" w:themeFill="accent2" w:themeFillShade="CC"/>
      </w:tcPr>
    </w:tblStylePr>
    <w:tblStylePr w:type="lastRow">
      <w:rPr>
        <w:b/>
        <w:bCs/>
        <w:color w:val="9C34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6">
    <w:name w:val="Colorful List Accent 6"/>
    <w:basedOn w:val="TableauNormal"/>
    <w:uiPriority w:val="72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A014" w:themeFill="accent5" w:themeFillShade="CC"/>
      </w:tcPr>
    </w:tblStylePr>
    <w:tblStylePr w:type="lastRow">
      <w:rPr>
        <w:b/>
        <w:bCs/>
        <w:color w:val="DAA0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DDB" w:themeFill="accent6" w:themeFillTint="3F"/>
      </w:tcPr>
    </w:tblStylePr>
    <w:tblStylePr w:type="band1Horz">
      <w:tblPr/>
      <w:tcPr>
        <w:shd w:val="clear" w:color="auto" w:fill="E7D7E2" w:themeFill="accent6" w:themeFillTint="33"/>
      </w:tcPr>
    </w:tblStylePr>
  </w:style>
  <w:style w:type="table" w:styleId="Grillecouleur-Accent1">
    <w:name w:val="Colorful Grid Accent 1"/>
    <w:basedOn w:val="TableauNormal"/>
    <w:uiPriority w:val="73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D1" w:themeFill="accent1" w:themeFillTint="33"/>
    </w:tcPr>
    <w:tblStylePr w:type="firstRow">
      <w:rPr>
        <w:b/>
        <w:bCs/>
      </w:rPr>
      <w:tblPr/>
      <w:tcPr>
        <w:shd w:val="clear" w:color="auto" w:fill="F5C3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3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E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E12" w:themeFill="accent1" w:themeFillShade="BF"/>
      </w:tcPr>
    </w:tblStylePr>
    <w:tblStylePr w:type="band1Vert">
      <w:tblPr/>
      <w:tcPr>
        <w:shd w:val="clear" w:color="auto" w:fill="F3B48E" w:themeFill="accent1" w:themeFillTint="7F"/>
      </w:tcPr>
    </w:tblStylePr>
    <w:tblStylePr w:type="band1Horz">
      <w:tblPr/>
      <w:tcPr>
        <w:shd w:val="clear" w:color="auto" w:fill="F3B48E" w:themeFill="accent1" w:themeFillTint="7F"/>
      </w:tcPr>
    </w:tblStylePr>
  </w:style>
  <w:style w:type="table" w:styleId="Grillecouleur-Accent6">
    <w:name w:val="Colorful Grid Accent 6"/>
    <w:basedOn w:val="TableauNormal"/>
    <w:uiPriority w:val="73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7E2" w:themeFill="accent6" w:themeFillTint="33"/>
    </w:tcPr>
    <w:tblStylePr w:type="firstRow">
      <w:rPr>
        <w:b/>
        <w:bCs/>
      </w:rPr>
      <w:tblPr/>
      <w:tcPr>
        <w:shd w:val="clear" w:color="auto" w:fill="CFAF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AF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936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9364E" w:themeFill="accent6" w:themeFillShade="BF"/>
      </w:tcPr>
    </w:tblStylePr>
    <w:tblStylePr w:type="band1Vert">
      <w:tblPr/>
      <w:tcPr>
        <w:shd w:val="clear" w:color="auto" w:fill="C39BB7" w:themeFill="accent6" w:themeFillTint="7F"/>
      </w:tcPr>
    </w:tblStylePr>
    <w:tblStylePr w:type="band1Horz">
      <w:tblPr/>
      <w:tcPr>
        <w:shd w:val="clear" w:color="auto" w:fill="C39BB7" w:themeFill="accent6" w:themeFillTint="7F"/>
      </w:tcPr>
    </w:tblStylePr>
  </w:style>
  <w:style w:type="table" w:styleId="Listecouleur-Accent5">
    <w:name w:val="Colorful List Accent 5"/>
    <w:basedOn w:val="TableauNormal"/>
    <w:uiPriority w:val="72"/>
    <w:rsid w:val="004A64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8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3953" w:themeFill="accent6" w:themeFillShade="CC"/>
      </w:tcPr>
    </w:tblStylePr>
    <w:tblStylePr w:type="lastRow">
      <w:rPr>
        <w:b/>
        <w:bCs/>
        <w:color w:val="5F39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DCE" w:themeFill="accent5" w:themeFillTint="3F"/>
      </w:tcPr>
    </w:tblStylePr>
    <w:tblStylePr w:type="band1Horz">
      <w:tblPr/>
      <w:tcPr>
        <w:shd w:val="clear" w:color="auto" w:fill="FBF1D7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146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21</cp:revision>
  <cp:lastPrinted>2012-08-02T20:18:00Z</cp:lastPrinted>
  <dcterms:created xsi:type="dcterms:W3CDTF">2014-11-21T19:32:00Z</dcterms:created>
  <dcterms:modified xsi:type="dcterms:W3CDTF">2015-03-19T12:03:00Z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